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6036" w:type="dxa"/>
        <w:tblInd w:w="-1175" w:type="dxa"/>
        <w:tblLayout w:type="fixed"/>
        <w:tblLook w:val="04A0" w:firstRow="1" w:lastRow="0" w:firstColumn="1" w:lastColumn="0" w:noHBand="0" w:noVBand="1"/>
      </w:tblPr>
      <w:tblGrid>
        <w:gridCol w:w="18"/>
        <w:gridCol w:w="4348"/>
        <w:gridCol w:w="4157"/>
        <w:gridCol w:w="7513"/>
      </w:tblGrid>
      <w:tr w:rsidR="00BC1E4E" w:rsidRPr="00BC1E4E" w14:paraId="7280A240" w14:textId="77777777" w:rsidTr="00D43A0B">
        <w:trPr>
          <w:gridBefore w:val="1"/>
          <w:wBefore w:w="18" w:type="dxa"/>
          <w:trHeight w:val="287"/>
        </w:trPr>
        <w:tc>
          <w:tcPr>
            <w:tcW w:w="4348" w:type="dxa"/>
            <w:tcBorders>
              <w:top w:val="single" w:sz="18" w:space="0" w:color="auto"/>
              <w:left w:val="single" w:sz="18" w:space="0" w:color="auto"/>
              <w:right w:val="single" w:sz="18" w:space="0" w:color="auto"/>
            </w:tcBorders>
            <w:shd w:val="clear" w:color="auto" w:fill="DEEAF6" w:themeFill="accent5" w:themeFillTint="33"/>
            <w:vAlign w:val="center"/>
          </w:tcPr>
          <w:p w14:paraId="7F15E631" w14:textId="77777777" w:rsidR="00BC1E4E" w:rsidRPr="00BC1E4E" w:rsidRDefault="00BC1E4E" w:rsidP="00D43A0B">
            <w:pPr>
              <w:jc w:val="center"/>
              <w:rPr>
                <w:rFonts w:cstheme="minorHAnsi"/>
                <w:sz w:val="24"/>
                <w:szCs w:val="24"/>
              </w:rPr>
            </w:pPr>
            <w:r w:rsidRPr="00BC1E4E">
              <w:rPr>
                <w:rFonts w:cstheme="minorHAnsi"/>
                <w:sz w:val="24"/>
                <w:szCs w:val="24"/>
              </w:rPr>
              <w:t xml:space="preserve">Part of the Paper </w:t>
            </w:r>
          </w:p>
        </w:tc>
        <w:tc>
          <w:tcPr>
            <w:tcW w:w="4157" w:type="dxa"/>
            <w:tcBorders>
              <w:top w:val="single" w:sz="18" w:space="0" w:color="auto"/>
              <w:left w:val="single" w:sz="18" w:space="0" w:color="auto"/>
              <w:right w:val="single" w:sz="8" w:space="0" w:color="auto"/>
            </w:tcBorders>
            <w:shd w:val="clear" w:color="auto" w:fill="DEEAF6" w:themeFill="accent5" w:themeFillTint="33"/>
            <w:vAlign w:val="center"/>
          </w:tcPr>
          <w:p w14:paraId="062CED0D" w14:textId="77777777" w:rsidR="00BC1E4E" w:rsidRPr="00BC1E4E" w:rsidRDefault="00BC1E4E" w:rsidP="00D43A0B">
            <w:pPr>
              <w:jc w:val="center"/>
              <w:rPr>
                <w:rFonts w:cstheme="minorHAnsi"/>
                <w:sz w:val="24"/>
                <w:szCs w:val="24"/>
              </w:rPr>
            </w:pPr>
            <w:r w:rsidRPr="00BC1E4E">
              <w:rPr>
                <w:rFonts w:cstheme="minorHAnsi"/>
                <w:sz w:val="24"/>
                <w:szCs w:val="24"/>
              </w:rPr>
              <w:t>Research Studies</w:t>
            </w:r>
          </w:p>
        </w:tc>
        <w:tc>
          <w:tcPr>
            <w:tcW w:w="7513" w:type="dxa"/>
            <w:tcBorders>
              <w:top w:val="single" w:sz="18" w:space="0" w:color="auto"/>
              <w:left w:val="single" w:sz="8" w:space="0" w:color="auto"/>
              <w:right w:val="single" w:sz="8" w:space="0" w:color="auto"/>
            </w:tcBorders>
            <w:shd w:val="clear" w:color="auto" w:fill="DEEAF6" w:themeFill="accent5" w:themeFillTint="33"/>
            <w:vAlign w:val="center"/>
          </w:tcPr>
          <w:p w14:paraId="048EB9F5" w14:textId="77777777" w:rsidR="00BC1E4E" w:rsidRPr="00BC1E4E" w:rsidRDefault="00BC1E4E" w:rsidP="00D43A0B">
            <w:pPr>
              <w:jc w:val="center"/>
              <w:rPr>
                <w:rFonts w:cstheme="minorHAnsi"/>
                <w:sz w:val="24"/>
                <w:szCs w:val="24"/>
              </w:rPr>
            </w:pPr>
            <w:r w:rsidRPr="00BC1E4E">
              <w:rPr>
                <w:rFonts w:cstheme="minorHAnsi"/>
                <w:sz w:val="24"/>
                <w:szCs w:val="24"/>
              </w:rPr>
              <w:t>Key ideas and course book references</w:t>
            </w:r>
          </w:p>
        </w:tc>
      </w:tr>
      <w:tr w:rsidR="00BC1E4E" w:rsidRPr="00BC1E4E" w14:paraId="01DE78A3" w14:textId="77777777" w:rsidTr="00D43A0B">
        <w:trPr>
          <w:gridBefore w:val="1"/>
          <w:wBefore w:w="18" w:type="dxa"/>
          <w:trHeight w:val="725"/>
        </w:trPr>
        <w:tc>
          <w:tcPr>
            <w:tcW w:w="4348" w:type="dxa"/>
            <w:vMerge w:val="restart"/>
            <w:tcBorders>
              <w:left w:val="single" w:sz="18" w:space="0" w:color="auto"/>
              <w:right w:val="single" w:sz="4" w:space="0" w:color="auto"/>
            </w:tcBorders>
            <w:tcMar>
              <w:left w:w="0" w:type="dxa"/>
              <w:right w:w="0" w:type="dxa"/>
            </w:tcMar>
            <w:vAlign w:val="center"/>
          </w:tcPr>
          <w:p w14:paraId="4BDD5E92" w14:textId="5588C5A8" w:rsidR="00BC1E4E" w:rsidRPr="00BC1E4E" w:rsidRDefault="00BC1E4E" w:rsidP="00D43A0B">
            <w:pPr>
              <w:jc w:val="center"/>
              <w:rPr>
                <w:rFonts w:cstheme="minorHAnsi"/>
                <w:sz w:val="24"/>
                <w:szCs w:val="24"/>
              </w:rPr>
            </w:pPr>
            <w:r w:rsidRPr="00BC1E4E">
              <w:rPr>
                <w:rFonts w:cstheme="minorHAnsi"/>
                <w:sz w:val="24"/>
                <w:szCs w:val="24"/>
              </w:rPr>
              <w:t xml:space="preserve">Language and </w:t>
            </w:r>
            <w:proofErr w:type="gramStart"/>
            <w:r w:rsidRPr="00BC1E4E">
              <w:rPr>
                <w:rFonts w:cstheme="minorHAnsi"/>
                <w:sz w:val="24"/>
                <w:szCs w:val="24"/>
              </w:rPr>
              <w:t>Occupation  (</w:t>
            </w:r>
            <w:proofErr w:type="gramEnd"/>
            <w:r w:rsidRPr="00BC1E4E">
              <w:rPr>
                <w:rFonts w:cstheme="minorHAnsi"/>
                <w:sz w:val="24"/>
                <w:szCs w:val="24"/>
              </w:rPr>
              <w:t xml:space="preserve">AS Paper 2 Language Varieties 1hr 30 minutes). </w:t>
            </w:r>
          </w:p>
          <w:p w14:paraId="0681E17B" w14:textId="77777777" w:rsidR="00BC1E4E" w:rsidRPr="00BC1E4E" w:rsidRDefault="00BC1E4E" w:rsidP="00D43A0B">
            <w:pPr>
              <w:jc w:val="center"/>
              <w:rPr>
                <w:rFonts w:cstheme="minorHAnsi"/>
                <w:sz w:val="24"/>
                <w:szCs w:val="24"/>
              </w:rPr>
            </w:pPr>
          </w:p>
          <w:p w14:paraId="3FB3E860" w14:textId="77777777" w:rsidR="00BC1E4E" w:rsidRPr="00BC1E4E" w:rsidRDefault="00BC1E4E" w:rsidP="00D43A0B">
            <w:pPr>
              <w:jc w:val="center"/>
              <w:rPr>
                <w:rFonts w:cstheme="minorHAnsi"/>
                <w:sz w:val="24"/>
                <w:szCs w:val="24"/>
              </w:rPr>
            </w:pPr>
          </w:p>
          <w:p w14:paraId="73E689A8" w14:textId="77777777" w:rsidR="00BC1E4E" w:rsidRPr="00BC1E4E" w:rsidRDefault="00BC1E4E" w:rsidP="00D43A0B">
            <w:pPr>
              <w:jc w:val="center"/>
              <w:rPr>
                <w:rFonts w:cstheme="minorHAnsi"/>
                <w:sz w:val="24"/>
                <w:szCs w:val="24"/>
              </w:rPr>
            </w:pPr>
            <w:r w:rsidRPr="00BC1E4E">
              <w:rPr>
                <w:rFonts w:cstheme="minorHAnsi"/>
                <w:sz w:val="24"/>
                <w:szCs w:val="24"/>
              </w:rPr>
              <w:t xml:space="preserve">Students will study the key concepts of audience, purpose, </w:t>
            </w:r>
            <w:proofErr w:type="gramStart"/>
            <w:r w:rsidRPr="00BC1E4E">
              <w:rPr>
                <w:rFonts w:cstheme="minorHAnsi"/>
                <w:sz w:val="24"/>
                <w:szCs w:val="24"/>
              </w:rPr>
              <w:t>genre</w:t>
            </w:r>
            <w:proofErr w:type="gramEnd"/>
            <w:r w:rsidRPr="00BC1E4E">
              <w:rPr>
                <w:rFonts w:cstheme="minorHAnsi"/>
                <w:sz w:val="24"/>
                <w:szCs w:val="24"/>
              </w:rPr>
              <w:t xml:space="preserve"> and mode and will explore language in its wider social and geographical contexts. Students will study varieties of English within the British Isles. This part of the subject content also requires students to study social attitudes to, and debates about, language diversity.</w:t>
            </w:r>
          </w:p>
        </w:tc>
        <w:tc>
          <w:tcPr>
            <w:tcW w:w="4157" w:type="dxa"/>
            <w:tcBorders>
              <w:left w:val="single" w:sz="18" w:space="0" w:color="auto"/>
              <w:bottom w:val="single" w:sz="4" w:space="0" w:color="auto"/>
            </w:tcBorders>
            <w:shd w:val="clear" w:color="auto" w:fill="auto"/>
            <w:vAlign w:val="center"/>
          </w:tcPr>
          <w:p w14:paraId="026C5A2F" w14:textId="77777777" w:rsidR="00BC1E4E" w:rsidRPr="00BC1E4E" w:rsidRDefault="00BC1E4E" w:rsidP="00BC1E4E">
            <w:pPr>
              <w:rPr>
                <w:rFonts w:cstheme="minorHAnsi"/>
                <w:sz w:val="24"/>
                <w:szCs w:val="24"/>
              </w:rPr>
            </w:pPr>
            <w:r w:rsidRPr="00BC1E4E">
              <w:rPr>
                <w:rFonts w:cstheme="minorHAnsi"/>
                <w:sz w:val="24"/>
                <w:szCs w:val="24"/>
              </w:rPr>
              <w:t>Howard Giles (1973)</w:t>
            </w:r>
          </w:p>
          <w:p w14:paraId="11CC75B9" w14:textId="77777777" w:rsidR="00BC1E4E" w:rsidRPr="00BC1E4E" w:rsidRDefault="00BC1E4E" w:rsidP="00BC1E4E">
            <w:pPr>
              <w:rPr>
                <w:rFonts w:cstheme="minorHAnsi"/>
                <w:sz w:val="24"/>
                <w:szCs w:val="24"/>
              </w:rPr>
            </w:pPr>
            <w:r w:rsidRPr="00BC1E4E">
              <w:rPr>
                <w:rFonts w:cstheme="minorHAnsi"/>
                <w:sz w:val="24"/>
                <w:szCs w:val="24"/>
              </w:rPr>
              <w:t>Accommodation Theory</w:t>
            </w:r>
          </w:p>
          <w:p w14:paraId="6E3BE99D" w14:textId="77777777" w:rsidR="00BC1E4E" w:rsidRPr="00BC1E4E" w:rsidRDefault="00BC1E4E" w:rsidP="00D43A0B">
            <w:pPr>
              <w:jc w:val="center"/>
              <w:rPr>
                <w:rFonts w:cstheme="minorHAnsi"/>
                <w:sz w:val="24"/>
                <w:szCs w:val="24"/>
              </w:rPr>
            </w:pPr>
          </w:p>
        </w:tc>
        <w:tc>
          <w:tcPr>
            <w:tcW w:w="7513" w:type="dxa"/>
            <w:tcBorders>
              <w:bottom w:val="single" w:sz="4" w:space="0" w:color="auto"/>
              <w:right w:val="single" w:sz="8" w:space="0" w:color="auto"/>
            </w:tcBorders>
            <w:vAlign w:val="center"/>
          </w:tcPr>
          <w:p w14:paraId="02FB85C9" w14:textId="77777777" w:rsidR="00BC1E4E" w:rsidRPr="00BC1E4E" w:rsidRDefault="00BC1E4E" w:rsidP="00BC1E4E">
            <w:pPr>
              <w:rPr>
                <w:rFonts w:cstheme="minorHAnsi"/>
                <w:sz w:val="24"/>
                <w:szCs w:val="24"/>
              </w:rPr>
            </w:pPr>
            <w:r w:rsidRPr="00BC1E4E">
              <w:rPr>
                <w:rFonts w:cstheme="minorHAnsi"/>
                <w:sz w:val="24"/>
                <w:szCs w:val="24"/>
              </w:rPr>
              <w:t>Read page 182-4 in coursebook</w:t>
            </w:r>
          </w:p>
          <w:p w14:paraId="0648290B" w14:textId="77777777" w:rsidR="00BC1E4E" w:rsidRPr="00BC1E4E" w:rsidRDefault="00BC1E4E" w:rsidP="00BC1E4E">
            <w:pPr>
              <w:rPr>
                <w:rFonts w:cstheme="minorHAnsi"/>
                <w:sz w:val="24"/>
                <w:szCs w:val="24"/>
              </w:rPr>
            </w:pPr>
            <w:r w:rsidRPr="00BC1E4E">
              <w:rPr>
                <w:rFonts w:cstheme="minorHAnsi"/>
                <w:sz w:val="24"/>
                <w:szCs w:val="24"/>
              </w:rPr>
              <w:t xml:space="preserve">Convergence: When we use language to </w:t>
            </w:r>
            <w:proofErr w:type="gramStart"/>
            <w:r w:rsidRPr="00BC1E4E">
              <w:rPr>
                <w:rFonts w:cstheme="minorHAnsi"/>
                <w:sz w:val="24"/>
                <w:szCs w:val="24"/>
              </w:rPr>
              <w:t>resemble, and</w:t>
            </w:r>
            <w:proofErr w:type="gramEnd"/>
            <w:r w:rsidRPr="00BC1E4E">
              <w:rPr>
                <w:rFonts w:cstheme="minorHAnsi"/>
                <w:sz w:val="24"/>
                <w:szCs w:val="24"/>
              </w:rPr>
              <w:t xml:space="preserve"> be more in line with the language used by our audience.</w:t>
            </w:r>
          </w:p>
          <w:p w14:paraId="195B473E" w14:textId="77777777" w:rsidR="00BC1E4E" w:rsidRPr="00BC1E4E" w:rsidRDefault="00BC1E4E" w:rsidP="00BC1E4E">
            <w:pPr>
              <w:rPr>
                <w:rFonts w:cstheme="minorHAnsi"/>
                <w:sz w:val="24"/>
                <w:szCs w:val="24"/>
              </w:rPr>
            </w:pPr>
            <w:r w:rsidRPr="00BC1E4E">
              <w:rPr>
                <w:rFonts w:cstheme="minorHAnsi"/>
                <w:sz w:val="24"/>
                <w:szCs w:val="24"/>
              </w:rPr>
              <w:t>Divergence: When people use language to distance and distinguish themselves from others.</w:t>
            </w:r>
          </w:p>
          <w:p w14:paraId="5DC8E17D" w14:textId="77777777" w:rsidR="00BC1E4E" w:rsidRPr="00BC1E4E" w:rsidRDefault="00BC1E4E" w:rsidP="00BC1E4E">
            <w:pPr>
              <w:rPr>
                <w:rFonts w:cstheme="minorHAnsi"/>
                <w:sz w:val="24"/>
                <w:szCs w:val="24"/>
              </w:rPr>
            </w:pPr>
          </w:p>
          <w:p w14:paraId="0B7E2858" w14:textId="7E7F7068" w:rsidR="00BC1E4E" w:rsidRPr="00BC1E4E" w:rsidRDefault="00BC1E4E" w:rsidP="00BC1E4E">
            <w:pPr>
              <w:rPr>
                <w:rFonts w:cstheme="minorHAnsi"/>
                <w:sz w:val="24"/>
                <w:szCs w:val="24"/>
              </w:rPr>
            </w:pPr>
            <w:r w:rsidRPr="00BC1E4E">
              <w:rPr>
                <w:rFonts w:cstheme="minorHAnsi"/>
                <w:sz w:val="24"/>
                <w:szCs w:val="24"/>
              </w:rPr>
              <w:t xml:space="preserve">In some occupations, people choose or need to converge with people they are speaking to e.g. Doctor explaining diagnosis to a patient.  Other occupations may diverge by adopting, for example, a more formal </w:t>
            </w:r>
            <w:proofErr w:type="gramStart"/>
            <w:r w:rsidRPr="00BC1E4E">
              <w:rPr>
                <w:rFonts w:cstheme="minorHAnsi"/>
                <w:sz w:val="24"/>
                <w:szCs w:val="24"/>
              </w:rPr>
              <w:t>register  (</w:t>
            </w:r>
            <w:proofErr w:type="gramEnd"/>
            <w:r w:rsidRPr="00BC1E4E">
              <w:rPr>
                <w:rFonts w:cstheme="minorHAnsi"/>
                <w:sz w:val="24"/>
                <w:szCs w:val="24"/>
              </w:rPr>
              <w:t>legal letters, teacher reports)</w:t>
            </w:r>
          </w:p>
        </w:tc>
      </w:tr>
      <w:tr w:rsidR="00BC1E4E" w:rsidRPr="00BC1E4E" w14:paraId="0D6B6E03" w14:textId="77777777" w:rsidTr="00D43A0B">
        <w:trPr>
          <w:gridBefore w:val="1"/>
          <w:wBefore w:w="18" w:type="dxa"/>
          <w:trHeight w:val="607"/>
        </w:trPr>
        <w:tc>
          <w:tcPr>
            <w:tcW w:w="4348" w:type="dxa"/>
            <w:vMerge/>
            <w:tcBorders>
              <w:left w:val="single" w:sz="18" w:space="0" w:color="auto"/>
              <w:right w:val="single" w:sz="4" w:space="0" w:color="auto"/>
            </w:tcBorders>
            <w:tcMar>
              <w:left w:w="0" w:type="dxa"/>
              <w:right w:w="0" w:type="dxa"/>
            </w:tcMar>
            <w:vAlign w:val="center"/>
          </w:tcPr>
          <w:p w14:paraId="4EC6AF53" w14:textId="77777777" w:rsidR="00BC1E4E" w:rsidRPr="00BC1E4E" w:rsidRDefault="00BC1E4E" w:rsidP="00D43A0B">
            <w:pPr>
              <w:jc w:val="center"/>
              <w:rPr>
                <w:rFonts w:cstheme="minorHAnsi"/>
                <w:sz w:val="24"/>
                <w:szCs w:val="24"/>
              </w:rPr>
            </w:pPr>
          </w:p>
        </w:tc>
        <w:tc>
          <w:tcPr>
            <w:tcW w:w="4157" w:type="dxa"/>
            <w:tcBorders>
              <w:left w:val="single" w:sz="18" w:space="0" w:color="auto"/>
              <w:bottom w:val="single" w:sz="4" w:space="0" w:color="auto"/>
            </w:tcBorders>
            <w:vAlign w:val="center"/>
          </w:tcPr>
          <w:p w14:paraId="650DCFA4" w14:textId="77777777" w:rsidR="00BC1E4E" w:rsidRPr="00BC1E4E" w:rsidRDefault="00BC1E4E" w:rsidP="00BC1E4E">
            <w:pPr>
              <w:jc w:val="center"/>
              <w:rPr>
                <w:rFonts w:cstheme="minorHAnsi"/>
                <w:sz w:val="24"/>
                <w:szCs w:val="24"/>
              </w:rPr>
            </w:pPr>
            <w:r w:rsidRPr="00BC1E4E">
              <w:rPr>
                <w:rFonts w:cstheme="minorHAnsi"/>
                <w:sz w:val="24"/>
                <w:szCs w:val="24"/>
              </w:rPr>
              <w:t>John Swales (2011)</w:t>
            </w:r>
          </w:p>
          <w:p w14:paraId="5DE3B8B1" w14:textId="77777777" w:rsidR="00BC1E4E" w:rsidRPr="00BC1E4E" w:rsidRDefault="00BC1E4E" w:rsidP="00BC1E4E">
            <w:pPr>
              <w:jc w:val="center"/>
              <w:rPr>
                <w:rFonts w:cstheme="minorHAnsi"/>
                <w:sz w:val="24"/>
                <w:szCs w:val="24"/>
              </w:rPr>
            </w:pPr>
            <w:r w:rsidRPr="00BC1E4E">
              <w:rPr>
                <w:rFonts w:cstheme="minorHAnsi"/>
                <w:sz w:val="24"/>
                <w:szCs w:val="24"/>
              </w:rPr>
              <w:t xml:space="preserve">Discourse Community </w:t>
            </w:r>
          </w:p>
          <w:p w14:paraId="3740E024" w14:textId="043150A5" w:rsidR="00BC1E4E" w:rsidRPr="00BC1E4E" w:rsidRDefault="00BC1E4E" w:rsidP="00BC1E4E">
            <w:pPr>
              <w:jc w:val="center"/>
              <w:rPr>
                <w:rFonts w:cstheme="minorHAnsi"/>
                <w:sz w:val="24"/>
                <w:szCs w:val="24"/>
              </w:rPr>
            </w:pPr>
            <w:r w:rsidRPr="00BC1E4E">
              <w:rPr>
                <w:rFonts w:cstheme="minorHAnsi"/>
                <w:sz w:val="24"/>
                <w:szCs w:val="24"/>
              </w:rPr>
              <w:t>(an alternative term for this is a community of practice)</w:t>
            </w:r>
          </w:p>
        </w:tc>
        <w:tc>
          <w:tcPr>
            <w:tcW w:w="7513" w:type="dxa"/>
            <w:tcBorders>
              <w:bottom w:val="single" w:sz="4" w:space="0" w:color="auto"/>
              <w:right w:val="single" w:sz="8" w:space="0" w:color="auto"/>
            </w:tcBorders>
            <w:vAlign w:val="center"/>
          </w:tcPr>
          <w:p w14:paraId="2FA97B0E" w14:textId="77777777" w:rsidR="00BC1E4E" w:rsidRPr="00BC1E4E" w:rsidRDefault="00BC1E4E" w:rsidP="00BC1E4E">
            <w:pPr>
              <w:rPr>
                <w:rFonts w:cstheme="minorHAnsi"/>
                <w:sz w:val="24"/>
                <w:szCs w:val="24"/>
              </w:rPr>
            </w:pPr>
            <w:r w:rsidRPr="00BC1E4E">
              <w:rPr>
                <w:rFonts w:cstheme="minorHAnsi"/>
                <w:sz w:val="24"/>
                <w:szCs w:val="24"/>
              </w:rPr>
              <w:t xml:space="preserve">In a discourse community </w:t>
            </w:r>
            <w:proofErr w:type="gramStart"/>
            <w:r w:rsidRPr="00BC1E4E">
              <w:rPr>
                <w:rFonts w:cstheme="minorHAnsi"/>
                <w:sz w:val="24"/>
                <w:szCs w:val="24"/>
              </w:rPr>
              <w:t>members</w:t>
            </w:r>
            <w:proofErr w:type="gramEnd"/>
            <w:r w:rsidRPr="00BC1E4E">
              <w:rPr>
                <w:rFonts w:cstheme="minorHAnsi"/>
                <w:sz w:val="24"/>
                <w:szCs w:val="24"/>
              </w:rPr>
              <w:t>:</w:t>
            </w:r>
          </w:p>
          <w:p w14:paraId="13E2A526"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Share a set of common goals</w:t>
            </w:r>
          </w:p>
          <w:p w14:paraId="78E66D35"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Communicate internally</w:t>
            </w:r>
          </w:p>
          <w:p w14:paraId="3AF87241"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Use specialist language and discourse</w:t>
            </w:r>
          </w:p>
          <w:p w14:paraId="4EE39F84" w14:textId="684405F2"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Possess a required level of skill and knowledge to be considered eligible to participate in the community</w:t>
            </w:r>
          </w:p>
        </w:tc>
      </w:tr>
      <w:tr w:rsidR="00BC1E4E" w:rsidRPr="00BC1E4E" w14:paraId="00B6BFD2" w14:textId="77777777" w:rsidTr="00D43A0B">
        <w:trPr>
          <w:gridBefore w:val="1"/>
          <w:wBefore w:w="18" w:type="dxa"/>
          <w:trHeight w:val="1092"/>
        </w:trPr>
        <w:tc>
          <w:tcPr>
            <w:tcW w:w="4348" w:type="dxa"/>
            <w:vMerge/>
            <w:tcBorders>
              <w:left w:val="single" w:sz="18" w:space="0" w:color="auto"/>
              <w:right w:val="single" w:sz="4" w:space="0" w:color="auto"/>
            </w:tcBorders>
            <w:tcMar>
              <w:left w:w="0" w:type="dxa"/>
              <w:right w:w="0" w:type="dxa"/>
            </w:tcMar>
            <w:vAlign w:val="center"/>
          </w:tcPr>
          <w:p w14:paraId="6D682182" w14:textId="77777777" w:rsidR="00BC1E4E" w:rsidRPr="00BC1E4E" w:rsidRDefault="00BC1E4E" w:rsidP="00D43A0B">
            <w:pPr>
              <w:jc w:val="center"/>
              <w:rPr>
                <w:rFonts w:cstheme="minorHAnsi"/>
                <w:sz w:val="24"/>
                <w:szCs w:val="24"/>
              </w:rPr>
            </w:pPr>
          </w:p>
        </w:tc>
        <w:tc>
          <w:tcPr>
            <w:tcW w:w="4157" w:type="dxa"/>
            <w:tcBorders>
              <w:left w:val="single" w:sz="18" w:space="0" w:color="auto"/>
            </w:tcBorders>
            <w:tcMar>
              <w:left w:w="6" w:type="dxa"/>
              <w:right w:w="0" w:type="dxa"/>
            </w:tcMar>
            <w:vAlign w:val="center"/>
          </w:tcPr>
          <w:p w14:paraId="1CDB31A5" w14:textId="77777777" w:rsidR="00BC1E4E" w:rsidRPr="00BC1E4E" w:rsidRDefault="00BC1E4E" w:rsidP="00BC1E4E">
            <w:pPr>
              <w:jc w:val="center"/>
              <w:rPr>
                <w:rFonts w:cstheme="minorHAnsi"/>
                <w:sz w:val="24"/>
                <w:szCs w:val="24"/>
              </w:rPr>
            </w:pPr>
            <w:r w:rsidRPr="00BC1E4E">
              <w:rPr>
                <w:rFonts w:cstheme="minorHAnsi"/>
                <w:sz w:val="24"/>
                <w:szCs w:val="24"/>
              </w:rPr>
              <w:t>Drew and Heritage (1993)</w:t>
            </w:r>
          </w:p>
          <w:p w14:paraId="4EDA6FD0" w14:textId="200C576B" w:rsidR="00BC1E4E" w:rsidRPr="00BC1E4E" w:rsidRDefault="00BC1E4E" w:rsidP="00BC1E4E">
            <w:pPr>
              <w:jc w:val="center"/>
              <w:rPr>
                <w:rFonts w:cstheme="minorHAnsi"/>
                <w:sz w:val="24"/>
                <w:szCs w:val="24"/>
              </w:rPr>
            </w:pPr>
            <w:r w:rsidRPr="00BC1E4E">
              <w:rPr>
                <w:rFonts w:cstheme="minorHAnsi"/>
                <w:sz w:val="24"/>
                <w:szCs w:val="24"/>
              </w:rPr>
              <w:t>Inferential Frameworks</w:t>
            </w:r>
          </w:p>
        </w:tc>
        <w:tc>
          <w:tcPr>
            <w:tcW w:w="7513" w:type="dxa"/>
            <w:tcBorders>
              <w:right w:val="single" w:sz="8" w:space="0" w:color="auto"/>
            </w:tcBorders>
            <w:vAlign w:val="center"/>
          </w:tcPr>
          <w:p w14:paraId="40AF0166" w14:textId="77777777" w:rsidR="00BC1E4E" w:rsidRPr="00BC1E4E" w:rsidRDefault="00BC1E4E" w:rsidP="00BC1E4E">
            <w:pPr>
              <w:rPr>
                <w:rFonts w:cstheme="minorHAnsi"/>
                <w:sz w:val="24"/>
                <w:szCs w:val="24"/>
              </w:rPr>
            </w:pPr>
            <w:r w:rsidRPr="00BC1E4E">
              <w:rPr>
                <w:rFonts w:cstheme="minorHAnsi"/>
                <w:sz w:val="24"/>
                <w:szCs w:val="24"/>
              </w:rPr>
              <w:t xml:space="preserve">Members of a discourse community have </w:t>
            </w:r>
          </w:p>
          <w:p w14:paraId="14D577BB"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 xml:space="preserve">inferential </w:t>
            </w:r>
            <w:proofErr w:type="spellStart"/>
            <w:r w:rsidRPr="00BC1E4E">
              <w:rPr>
                <w:rFonts w:cstheme="minorHAnsi"/>
                <w:sz w:val="24"/>
                <w:szCs w:val="24"/>
              </w:rPr>
              <w:t>frameworkds</w:t>
            </w:r>
            <w:proofErr w:type="spellEnd"/>
            <w:r w:rsidRPr="00BC1E4E">
              <w:rPr>
                <w:rFonts w:cstheme="minorHAnsi"/>
                <w:sz w:val="24"/>
                <w:szCs w:val="24"/>
              </w:rPr>
              <w:t xml:space="preserve"> (knowledge built up over time and used </w:t>
            </w:r>
            <w:proofErr w:type="gramStart"/>
            <w:r w:rsidRPr="00BC1E4E">
              <w:rPr>
                <w:rFonts w:cstheme="minorHAnsi"/>
                <w:sz w:val="24"/>
                <w:szCs w:val="24"/>
              </w:rPr>
              <w:t>in order to</w:t>
            </w:r>
            <w:proofErr w:type="gramEnd"/>
            <w:r w:rsidRPr="00BC1E4E">
              <w:rPr>
                <w:rFonts w:cstheme="minorHAnsi"/>
                <w:sz w:val="24"/>
                <w:szCs w:val="24"/>
              </w:rPr>
              <w:t xml:space="preserve"> understand meanings that are implicit)</w:t>
            </w:r>
          </w:p>
          <w:p w14:paraId="2D005482" w14:textId="5C5EF3F5"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strong hierarchies of power leading to asymmetrical interactions (unequal)</w:t>
            </w:r>
          </w:p>
        </w:tc>
      </w:tr>
      <w:tr w:rsidR="00BC1E4E" w:rsidRPr="00BC1E4E" w14:paraId="5190854F" w14:textId="77777777" w:rsidTr="00BC1E4E">
        <w:trPr>
          <w:gridBefore w:val="1"/>
          <w:wBefore w:w="18" w:type="dxa"/>
          <w:trHeight w:val="1975"/>
        </w:trPr>
        <w:tc>
          <w:tcPr>
            <w:tcW w:w="4348" w:type="dxa"/>
            <w:vMerge/>
            <w:tcBorders>
              <w:left w:val="single" w:sz="18" w:space="0" w:color="auto"/>
              <w:bottom w:val="single" w:sz="4" w:space="0" w:color="auto"/>
              <w:right w:val="single" w:sz="4" w:space="0" w:color="auto"/>
            </w:tcBorders>
            <w:tcMar>
              <w:left w:w="0" w:type="dxa"/>
              <w:right w:w="0" w:type="dxa"/>
            </w:tcMar>
            <w:vAlign w:val="center"/>
          </w:tcPr>
          <w:p w14:paraId="7DE97E6D" w14:textId="77777777" w:rsidR="00BC1E4E" w:rsidRPr="00BC1E4E" w:rsidRDefault="00BC1E4E"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0A0EB19E" w14:textId="77777777" w:rsidR="00BC1E4E" w:rsidRPr="00BC1E4E" w:rsidRDefault="00BC1E4E" w:rsidP="00BC1E4E">
            <w:pPr>
              <w:jc w:val="center"/>
              <w:rPr>
                <w:rFonts w:cstheme="minorHAnsi"/>
                <w:sz w:val="24"/>
                <w:szCs w:val="24"/>
              </w:rPr>
            </w:pPr>
            <w:r w:rsidRPr="00BC1E4E">
              <w:rPr>
                <w:rFonts w:cstheme="minorHAnsi"/>
                <w:sz w:val="24"/>
                <w:szCs w:val="24"/>
              </w:rPr>
              <w:t>Koester (2004)</w:t>
            </w:r>
          </w:p>
          <w:p w14:paraId="01A42313" w14:textId="70C0ABEC" w:rsidR="00BC1E4E" w:rsidRPr="00BC1E4E" w:rsidRDefault="00BC1E4E" w:rsidP="00BC1E4E">
            <w:pPr>
              <w:jc w:val="center"/>
              <w:rPr>
                <w:rFonts w:cstheme="minorHAnsi"/>
                <w:sz w:val="24"/>
                <w:szCs w:val="24"/>
              </w:rPr>
            </w:pPr>
            <w:r w:rsidRPr="00BC1E4E">
              <w:rPr>
                <w:rFonts w:cstheme="minorHAnsi"/>
                <w:sz w:val="24"/>
                <w:szCs w:val="24"/>
              </w:rPr>
              <w:t>Phatic talk</w:t>
            </w:r>
          </w:p>
        </w:tc>
        <w:tc>
          <w:tcPr>
            <w:tcW w:w="7513" w:type="dxa"/>
            <w:tcBorders>
              <w:bottom w:val="single" w:sz="18" w:space="0" w:color="auto"/>
              <w:right w:val="single" w:sz="8" w:space="0" w:color="auto"/>
            </w:tcBorders>
            <w:vAlign w:val="center"/>
          </w:tcPr>
          <w:p w14:paraId="120F8936" w14:textId="77777777" w:rsidR="00BC1E4E" w:rsidRPr="00BC1E4E" w:rsidRDefault="00BC1E4E" w:rsidP="00BC1E4E">
            <w:pPr>
              <w:rPr>
                <w:rFonts w:cstheme="minorHAnsi"/>
                <w:sz w:val="24"/>
                <w:szCs w:val="24"/>
              </w:rPr>
            </w:pPr>
            <w:r w:rsidRPr="00BC1E4E">
              <w:rPr>
                <w:rFonts w:cstheme="minorHAnsi"/>
                <w:sz w:val="24"/>
                <w:szCs w:val="24"/>
              </w:rPr>
              <w:t>Language that is devoid of content but that supports social relationships.</w:t>
            </w:r>
          </w:p>
          <w:p w14:paraId="790FA1B3" w14:textId="77777777" w:rsidR="00BC1E4E" w:rsidRPr="00BC1E4E" w:rsidRDefault="00BC1E4E" w:rsidP="00BC1E4E">
            <w:pPr>
              <w:rPr>
                <w:rFonts w:cstheme="minorHAnsi"/>
                <w:sz w:val="24"/>
                <w:szCs w:val="24"/>
              </w:rPr>
            </w:pPr>
            <w:r w:rsidRPr="00BC1E4E">
              <w:rPr>
                <w:rFonts w:cstheme="minorHAnsi"/>
                <w:sz w:val="24"/>
                <w:szCs w:val="24"/>
              </w:rPr>
              <w:t xml:space="preserve">Koester showed that phatic talk is important to getting jobs done within organisations.  </w:t>
            </w:r>
          </w:p>
          <w:p w14:paraId="67BB3BFF"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 xml:space="preserve">Workers need to establish interpersonal relationships and have interactions that are not just about work-related procedures. </w:t>
            </w:r>
          </w:p>
          <w:p w14:paraId="14F99C1A"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 xml:space="preserve">Being sociable and engaging in personal chat is an important aspect of effective working.  </w:t>
            </w:r>
          </w:p>
          <w:p w14:paraId="10E23824" w14:textId="46E64B9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Solidarity is an important dimension in the workplace.</w:t>
            </w:r>
          </w:p>
        </w:tc>
      </w:tr>
      <w:tr w:rsidR="00BC1E4E" w:rsidRPr="00BC1E4E" w14:paraId="1AB7A9E9" w14:textId="77777777" w:rsidTr="00BC1E4E">
        <w:trPr>
          <w:gridBefore w:val="1"/>
          <w:wBefore w:w="18" w:type="dxa"/>
          <w:trHeight w:val="3216"/>
        </w:trPr>
        <w:tc>
          <w:tcPr>
            <w:tcW w:w="4348" w:type="dxa"/>
            <w:tcBorders>
              <w:left w:val="single" w:sz="18" w:space="0" w:color="auto"/>
              <w:bottom w:val="single" w:sz="4" w:space="0" w:color="auto"/>
              <w:right w:val="single" w:sz="4" w:space="0" w:color="auto"/>
            </w:tcBorders>
            <w:tcMar>
              <w:left w:w="0" w:type="dxa"/>
              <w:right w:w="0" w:type="dxa"/>
            </w:tcMar>
            <w:vAlign w:val="center"/>
          </w:tcPr>
          <w:p w14:paraId="305710F0" w14:textId="77777777" w:rsidR="00BC1E4E" w:rsidRPr="00BC1E4E" w:rsidRDefault="00BC1E4E" w:rsidP="00D43A0B">
            <w:pPr>
              <w:jc w:val="center"/>
              <w:rPr>
                <w:rFonts w:cstheme="minorHAnsi"/>
                <w:sz w:val="24"/>
                <w:szCs w:val="24"/>
              </w:rPr>
            </w:pPr>
          </w:p>
        </w:tc>
        <w:tc>
          <w:tcPr>
            <w:tcW w:w="4157" w:type="dxa"/>
            <w:tcBorders>
              <w:left w:val="single" w:sz="18" w:space="0" w:color="auto"/>
              <w:bottom w:val="single" w:sz="18" w:space="0" w:color="auto"/>
            </w:tcBorders>
            <w:vAlign w:val="center"/>
          </w:tcPr>
          <w:p w14:paraId="2A153AFE" w14:textId="77777777" w:rsidR="00BC1E4E" w:rsidRPr="00BC1E4E" w:rsidRDefault="00BC1E4E" w:rsidP="00BC1E4E">
            <w:pPr>
              <w:autoSpaceDE w:val="0"/>
              <w:autoSpaceDN w:val="0"/>
              <w:adjustRightInd w:val="0"/>
              <w:rPr>
                <w:rFonts w:cstheme="minorHAnsi"/>
                <w:sz w:val="24"/>
                <w:szCs w:val="24"/>
              </w:rPr>
            </w:pPr>
            <w:r w:rsidRPr="00BC1E4E">
              <w:rPr>
                <w:rFonts w:cstheme="minorHAnsi"/>
                <w:sz w:val="24"/>
                <w:szCs w:val="24"/>
              </w:rPr>
              <w:t>Medical slang</w:t>
            </w:r>
          </w:p>
          <w:p w14:paraId="17319245" w14:textId="0B84D9E0" w:rsidR="00BC1E4E" w:rsidRPr="00BC1E4E" w:rsidRDefault="00BC1E4E" w:rsidP="00BC1E4E">
            <w:pPr>
              <w:autoSpaceDE w:val="0"/>
              <w:autoSpaceDN w:val="0"/>
              <w:adjustRightInd w:val="0"/>
              <w:rPr>
                <w:rFonts w:cstheme="minorHAnsi"/>
                <w:sz w:val="24"/>
                <w:szCs w:val="24"/>
              </w:rPr>
            </w:pPr>
            <w:r w:rsidRPr="00BC1E4E">
              <w:rPr>
                <w:rFonts w:cstheme="minorHAnsi"/>
                <w:sz w:val="24"/>
                <w:szCs w:val="24"/>
              </w:rPr>
              <w:t>Adam Fox (2002) The British Medical Journal</w:t>
            </w:r>
          </w:p>
        </w:tc>
        <w:tc>
          <w:tcPr>
            <w:tcW w:w="7513" w:type="dxa"/>
            <w:tcBorders>
              <w:bottom w:val="single" w:sz="18" w:space="0" w:color="auto"/>
              <w:right w:val="single" w:sz="8" w:space="0" w:color="auto"/>
            </w:tcBorders>
            <w:vAlign w:val="center"/>
          </w:tcPr>
          <w:p w14:paraId="46A0ADA8"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Ash cash – money for signing cremation forms</w:t>
            </w:r>
          </w:p>
          <w:p w14:paraId="1D32E245"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Buff – applying spin to a patient’s history to facilitate a transfer</w:t>
            </w:r>
          </w:p>
          <w:p w14:paraId="441F3B8C"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Code brown – incontinence related emergency</w:t>
            </w:r>
          </w:p>
          <w:p w14:paraId="7D3C3276"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Departure lounge – geriatric ward</w:t>
            </w:r>
          </w:p>
          <w:p w14:paraId="0968D973"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FTF – Failure to fly for attempted suicide victims</w:t>
            </w:r>
          </w:p>
          <w:p w14:paraId="166AB891"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House red – blood</w:t>
            </w:r>
          </w:p>
          <w:p w14:paraId="17375776" w14:textId="77777777" w:rsidR="00BC1E4E" w:rsidRPr="00BC1E4E" w:rsidRDefault="00BC1E4E" w:rsidP="00BC1E4E">
            <w:pPr>
              <w:rPr>
                <w:rFonts w:cstheme="minorHAnsi"/>
                <w:sz w:val="24"/>
                <w:szCs w:val="24"/>
              </w:rPr>
            </w:pPr>
            <w:r w:rsidRPr="00BC1E4E">
              <w:rPr>
                <w:rFonts w:cstheme="minorHAnsi"/>
                <w:sz w:val="24"/>
                <w:szCs w:val="24"/>
              </w:rPr>
              <w:t>•</w:t>
            </w:r>
            <w:r w:rsidRPr="00BC1E4E">
              <w:rPr>
                <w:rFonts w:cstheme="minorHAnsi"/>
                <w:sz w:val="24"/>
                <w:szCs w:val="24"/>
              </w:rPr>
              <w:tab/>
              <w:t>Wrinkly – geriatric</w:t>
            </w:r>
          </w:p>
          <w:p w14:paraId="412319F7" w14:textId="77777777" w:rsidR="00BC1E4E" w:rsidRPr="00BC1E4E" w:rsidRDefault="00BC1E4E" w:rsidP="00BC1E4E">
            <w:pPr>
              <w:rPr>
                <w:rFonts w:cstheme="minorHAnsi"/>
                <w:sz w:val="24"/>
                <w:szCs w:val="24"/>
              </w:rPr>
            </w:pPr>
          </w:p>
          <w:p w14:paraId="63C514B1" w14:textId="7AA7F93C" w:rsidR="00BC1E4E" w:rsidRPr="00BC1E4E" w:rsidRDefault="00BC1E4E" w:rsidP="00BC1E4E">
            <w:pPr>
              <w:rPr>
                <w:rFonts w:cstheme="minorHAnsi"/>
                <w:sz w:val="24"/>
                <w:szCs w:val="24"/>
              </w:rPr>
            </w:pPr>
            <w:r w:rsidRPr="00BC1E4E">
              <w:rPr>
                <w:rFonts w:cstheme="minorHAnsi"/>
                <w:sz w:val="24"/>
                <w:szCs w:val="24"/>
              </w:rPr>
              <w:t>The language of the medical profession has more than one register – technical/ scientific lexis and slang.  Sociolects sometimes develop to deal with taboo issues in society (illness and death)</w:t>
            </w:r>
          </w:p>
        </w:tc>
      </w:tr>
      <w:tr w:rsidR="00BC1E4E" w:rsidRPr="00BC1E4E" w14:paraId="4B9FAFEA" w14:textId="77777777" w:rsidTr="00D43A0B">
        <w:tblPrEx>
          <w:tblBorders>
            <w:top w:val="single" w:sz="18" w:space="0" w:color="auto"/>
            <w:left w:val="single" w:sz="18" w:space="0" w:color="auto"/>
            <w:bottom w:val="single" w:sz="18" w:space="0" w:color="auto"/>
            <w:right w:val="single" w:sz="18" w:space="0" w:color="auto"/>
          </w:tblBorders>
        </w:tblPrEx>
        <w:trPr>
          <w:trHeight w:val="298"/>
        </w:trPr>
        <w:tc>
          <w:tcPr>
            <w:tcW w:w="4366" w:type="dxa"/>
            <w:gridSpan w:val="2"/>
            <w:shd w:val="clear" w:color="auto" w:fill="DEEAF6" w:themeFill="accent5" w:themeFillTint="33"/>
          </w:tcPr>
          <w:p w14:paraId="12FE20CC" w14:textId="77777777" w:rsidR="00BC1E4E" w:rsidRPr="00BC1E4E" w:rsidRDefault="00BC1E4E" w:rsidP="00D43A0B">
            <w:pPr>
              <w:pStyle w:val="Heading2"/>
              <w:outlineLvl w:val="1"/>
              <w:rPr>
                <w:rFonts w:asciiTheme="minorHAnsi" w:hAnsiTheme="minorHAnsi" w:cstheme="minorHAnsi"/>
                <w:b w:val="0"/>
                <w:bCs w:val="0"/>
                <w:sz w:val="24"/>
                <w:szCs w:val="24"/>
                <w:lang w:val="en"/>
              </w:rPr>
            </w:pPr>
            <w:r w:rsidRPr="00BC1E4E">
              <w:rPr>
                <w:rFonts w:asciiTheme="minorHAnsi" w:hAnsiTheme="minorHAnsi" w:cstheme="minorHAnsi"/>
                <w:b w:val="0"/>
                <w:bCs w:val="0"/>
                <w:sz w:val="24"/>
                <w:szCs w:val="24"/>
                <w:lang w:val="en"/>
              </w:rPr>
              <w:t>Word</w:t>
            </w:r>
          </w:p>
        </w:tc>
        <w:tc>
          <w:tcPr>
            <w:tcW w:w="11670" w:type="dxa"/>
            <w:gridSpan w:val="2"/>
            <w:shd w:val="clear" w:color="auto" w:fill="DEEAF6" w:themeFill="accent5" w:themeFillTint="33"/>
          </w:tcPr>
          <w:p w14:paraId="3A3CDAB9" w14:textId="77777777" w:rsidR="00BC1E4E" w:rsidRPr="00BC1E4E" w:rsidRDefault="00BC1E4E" w:rsidP="00D43A0B">
            <w:pPr>
              <w:pStyle w:val="Heading2"/>
              <w:outlineLvl w:val="1"/>
              <w:rPr>
                <w:rFonts w:asciiTheme="minorHAnsi" w:hAnsiTheme="minorHAnsi" w:cstheme="minorHAnsi"/>
                <w:b w:val="0"/>
                <w:bCs w:val="0"/>
                <w:sz w:val="24"/>
                <w:szCs w:val="24"/>
                <w:lang w:val="en"/>
              </w:rPr>
            </w:pPr>
            <w:r w:rsidRPr="00BC1E4E">
              <w:rPr>
                <w:rFonts w:asciiTheme="minorHAnsi" w:hAnsiTheme="minorHAnsi" w:cstheme="minorHAnsi"/>
                <w:b w:val="0"/>
                <w:bCs w:val="0"/>
                <w:sz w:val="24"/>
                <w:szCs w:val="24"/>
                <w:lang w:val="en"/>
              </w:rPr>
              <w:t>Definition</w:t>
            </w:r>
          </w:p>
        </w:tc>
      </w:tr>
      <w:tr w:rsidR="00BC1E4E" w:rsidRPr="00BC1E4E" w14:paraId="15770E84" w14:textId="77777777" w:rsidTr="00D43A0B">
        <w:tblPrEx>
          <w:tblBorders>
            <w:top w:val="single" w:sz="18" w:space="0" w:color="auto"/>
            <w:left w:val="single" w:sz="18" w:space="0" w:color="auto"/>
            <w:bottom w:val="single" w:sz="18" w:space="0" w:color="auto"/>
            <w:right w:val="single" w:sz="18" w:space="0" w:color="auto"/>
          </w:tblBorders>
        </w:tblPrEx>
        <w:trPr>
          <w:trHeight w:val="585"/>
        </w:trPr>
        <w:tc>
          <w:tcPr>
            <w:tcW w:w="4366" w:type="dxa"/>
            <w:gridSpan w:val="2"/>
            <w:shd w:val="clear" w:color="auto" w:fill="auto"/>
            <w:tcMar>
              <w:left w:w="57" w:type="dxa"/>
              <w:right w:w="57" w:type="dxa"/>
            </w:tcMar>
          </w:tcPr>
          <w:p w14:paraId="56BA7884" w14:textId="77777777" w:rsidR="00BC1E4E" w:rsidRPr="00BC1E4E" w:rsidRDefault="00BC1E4E" w:rsidP="00BC1E4E">
            <w:pPr>
              <w:pStyle w:val="ListParagraph"/>
              <w:spacing w:after="0" w:line="240" w:lineRule="auto"/>
              <w:rPr>
                <w:rFonts w:cstheme="minorHAnsi"/>
                <w:sz w:val="24"/>
                <w:szCs w:val="24"/>
              </w:rPr>
            </w:pPr>
            <w:r w:rsidRPr="00BC1E4E">
              <w:rPr>
                <w:rFonts w:cstheme="minorHAnsi"/>
                <w:sz w:val="24"/>
                <w:szCs w:val="24"/>
              </w:rPr>
              <w:t>Occupational Lexicon</w:t>
            </w:r>
          </w:p>
          <w:p w14:paraId="4AAE4674" w14:textId="77777777" w:rsidR="00BC1E4E" w:rsidRPr="00BC1E4E" w:rsidRDefault="00BC1E4E" w:rsidP="00BC1E4E">
            <w:pPr>
              <w:rPr>
                <w:rFonts w:cstheme="minorHAnsi"/>
                <w:sz w:val="24"/>
                <w:szCs w:val="24"/>
              </w:rPr>
            </w:pPr>
          </w:p>
          <w:p w14:paraId="205EC397" w14:textId="77777777"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lang w:val="en"/>
              </w:rPr>
            </w:pPr>
          </w:p>
        </w:tc>
        <w:tc>
          <w:tcPr>
            <w:tcW w:w="11670" w:type="dxa"/>
            <w:gridSpan w:val="2"/>
          </w:tcPr>
          <w:p w14:paraId="6E823D50" w14:textId="1AD1BC91" w:rsidR="00BC1E4E" w:rsidRPr="00BC1E4E" w:rsidRDefault="00BC1E4E" w:rsidP="00BC1E4E">
            <w:pPr>
              <w:pStyle w:val="Heading2"/>
              <w:spacing w:before="0" w:beforeAutospacing="0" w:after="0" w:afterAutospacing="0"/>
              <w:outlineLvl w:val="1"/>
              <w:rPr>
                <w:rFonts w:asciiTheme="minorHAnsi" w:hAnsiTheme="minorHAnsi" w:cstheme="minorHAnsi"/>
                <w:b w:val="0"/>
                <w:bCs w:val="0"/>
                <w:sz w:val="24"/>
                <w:szCs w:val="24"/>
                <w:shd w:val="clear" w:color="auto" w:fill="FFFFFF"/>
              </w:rPr>
            </w:pPr>
            <w:r w:rsidRPr="00BC1E4E">
              <w:rPr>
                <w:rFonts w:asciiTheme="minorHAnsi" w:hAnsiTheme="minorHAnsi" w:cstheme="minorHAnsi"/>
                <w:b w:val="0"/>
                <w:bCs w:val="0"/>
                <w:sz w:val="24"/>
                <w:szCs w:val="24"/>
              </w:rPr>
              <w:t xml:space="preserve">Vocabulary that is specific to the occupation e.g. acronyms used by teachers (AFL, CPD, NEET, PP).  </w:t>
            </w:r>
            <w:r w:rsidRPr="00BC1E4E">
              <w:rPr>
                <w:rFonts w:asciiTheme="minorHAnsi" w:hAnsiTheme="minorHAnsi" w:cstheme="minorHAnsi"/>
                <w:b w:val="0"/>
                <w:bCs w:val="0"/>
                <w:color w:val="FF0000"/>
                <w:sz w:val="24"/>
                <w:szCs w:val="24"/>
              </w:rPr>
              <w:t>See p.180 coursebook for other occupational lexicons</w:t>
            </w:r>
          </w:p>
        </w:tc>
      </w:tr>
      <w:tr w:rsidR="00BC1E4E" w:rsidRPr="00BC1E4E" w14:paraId="587F9E6E"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13749986" w14:textId="7B3BB3C8"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BC1E4E">
              <w:rPr>
                <w:rFonts w:asciiTheme="minorHAnsi" w:hAnsiTheme="minorHAnsi" w:cstheme="minorHAnsi"/>
                <w:b w:val="0"/>
                <w:bCs w:val="0"/>
                <w:sz w:val="24"/>
                <w:szCs w:val="24"/>
              </w:rPr>
              <w:t>Restricted occupational lexis</w:t>
            </w:r>
          </w:p>
        </w:tc>
        <w:tc>
          <w:tcPr>
            <w:tcW w:w="11670" w:type="dxa"/>
            <w:gridSpan w:val="2"/>
          </w:tcPr>
          <w:p w14:paraId="3C6CE6D5" w14:textId="77777777" w:rsidR="00BC1E4E" w:rsidRPr="00BC1E4E" w:rsidRDefault="00BC1E4E" w:rsidP="00BC1E4E">
            <w:pPr>
              <w:autoSpaceDE w:val="0"/>
              <w:autoSpaceDN w:val="0"/>
              <w:adjustRightInd w:val="0"/>
              <w:rPr>
                <w:rFonts w:cstheme="minorHAnsi"/>
                <w:color w:val="FF0000"/>
                <w:sz w:val="24"/>
                <w:szCs w:val="24"/>
              </w:rPr>
            </w:pPr>
            <w:r w:rsidRPr="00BC1E4E">
              <w:rPr>
                <w:rFonts w:cstheme="minorHAnsi"/>
                <w:sz w:val="24"/>
                <w:szCs w:val="24"/>
              </w:rPr>
              <w:t xml:space="preserve">Words or phrases that are used solely in a </w:t>
            </w:r>
            <w:proofErr w:type="gramStart"/>
            <w:r w:rsidRPr="00BC1E4E">
              <w:rPr>
                <w:rFonts w:cstheme="minorHAnsi"/>
                <w:sz w:val="24"/>
                <w:szCs w:val="24"/>
              </w:rPr>
              <w:t>particular job</w:t>
            </w:r>
            <w:proofErr w:type="gramEnd"/>
            <w:r w:rsidRPr="00BC1E4E">
              <w:rPr>
                <w:rFonts w:cstheme="minorHAnsi"/>
                <w:sz w:val="24"/>
                <w:szCs w:val="24"/>
              </w:rPr>
              <w:t xml:space="preserve">.  Law and medicine provide examples of this. </w:t>
            </w:r>
          </w:p>
          <w:p w14:paraId="38E057DD" w14:textId="77777777" w:rsidR="00BC1E4E" w:rsidRPr="00BC1E4E" w:rsidRDefault="00BC1E4E" w:rsidP="00BC1E4E">
            <w:pPr>
              <w:autoSpaceDE w:val="0"/>
              <w:autoSpaceDN w:val="0"/>
              <w:adjustRightInd w:val="0"/>
              <w:rPr>
                <w:rFonts w:cstheme="minorHAnsi"/>
                <w:color w:val="FF0000"/>
                <w:sz w:val="24"/>
                <w:szCs w:val="24"/>
              </w:rPr>
            </w:pPr>
          </w:p>
          <w:p w14:paraId="7B326CAA" w14:textId="77777777" w:rsidR="00BC1E4E" w:rsidRPr="00BC1E4E" w:rsidRDefault="00BC1E4E" w:rsidP="00BC1E4E">
            <w:pPr>
              <w:pStyle w:val="Heading2"/>
              <w:spacing w:before="0" w:beforeAutospacing="0" w:after="0" w:afterAutospacing="0"/>
              <w:outlineLvl w:val="1"/>
              <w:rPr>
                <w:rFonts w:asciiTheme="minorHAnsi" w:hAnsiTheme="minorHAnsi" w:cstheme="minorHAnsi"/>
                <w:b w:val="0"/>
                <w:bCs w:val="0"/>
                <w:sz w:val="24"/>
                <w:szCs w:val="24"/>
                <w:lang w:val="en"/>
              </w:rPr>
            </w:pPr>
          </w:p>
        </w:tc>
      </w:tr>
      <w:tr w:rsidR="00BC1E4E" w:rsidRPr="00BC1E4E" w14:paraId="3B4203A1"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32EDD8B9" w14:textId="11979500"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BC1E4E">
              <w:rPr>
                <w:rFonts w:asciiTheme="minorHAnsi" w:hAnsiTheme="minorHAnsi" w:cstheme="minorHAnsi"/>
                <w:b w:val="0"/>
                <w:bCs w:val="0"/>
                <w:sz w:val="24"/>
                <w:szCs w:val="24"/>
              </w:rPr>
              <w:t>Codes</w:t>
            </w:r>
          </w:p>
        </w:tc>
        <w:tc>
          <w:tcPr>
            <w:tcW w:w="11670" w:type="dxa"/>
            <w:gridSpan w:val="2"/>
          </w:tcPr>
          <w:p w14:paraId="69A00739" w14:textId="7F3BE10F" w:rsidR="00BC1E4E" w:rsidRPr="00BC1E4E" w:rsidRDefault="00BC1E4E" w:rsidP="00BC1E4E">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BC1E4E">
              <w:rPr>
                <w:rFonts w:asciiTheme="minorHAnsi" w:hAnsiTheme="minorHAnsi" w:cstheme="minorHAnsi"/>
                <w:b w:val="0"/>
                <w:bCs w:val="0"/>
                <w:sz w:val="24"/>
                <w:szCs w:val="24"/>
              </w:rPr>
              <w:t xml:space="preserve">Use of codes to specify a specific situation. The use of codes in the emergency services, retail and hospitality is widespread. </w:t>
            </w:r>
            <w:r w:rsidRPr="00BC1E4E">
              <w:rPr>
                <w:rFonts w:asciiTheme="minorHAnsi" w:hAnsiTheme="minorHAnsi" w:cstheme="minorHAnsi"/>
                <w:b w:val="0"/>
                <w:bCs w:val="0"/>
                <w:color w:val="FF0000"/>
                <w:sz w:val="24"/>
                <w:szCs w:val="24"/>
              </w:rPr>
              <w:t>See p 182 coursebook for examples</w:t>
            </w:r>
          </w:p>
        </w:tc>
      </w:tr>
      <w:tr w:rsidR="00BC1E4E" w:rsidRPr="00BC1E4E" w14:paraId="75E43FBF"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6E91FCDF" w14:textId="37360844"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rPr>
            </w:pPr>
            <w:r w:rsidRPr="00BC1E4E">
              <w:rPr>
                <w:rFonts w:asciiTheme="minorHAnsi" w:hAnsiTheme="minorHAnsi" w:cstheme="minorHAnsi"/>
                <w:b w:val="0"/>
                <w:bCs w:val="0"/>
                <w:sz w:val="24"/>
                <w:szCs w:val="24"/>
              </w:rPr>
              <w:t>Jargon</w:t>
            </w:r>
          </w:p>
        </w:tc>
        <w:tc>
          <w:tcPr>
            <w:tcW w:w="11670" w:type="dxa"/>
            <w:gridSpan w:val="2"/>
          </w:tcPr>
          <w:p w14:paraId="719ED87E" w14:textId="2EE7F072" w:rsidR="00BC1E4E" w:rsidRPr="00BC1E4E" w:rsidRDefault="00BC1E4E" w:rsidP="00BC1E4E">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BC1E4E">
              <w:rPr>
                <w:rFonts w:asciiTheme="minorHAnsi" w:hAnsiTheme="minorHAnsi" w:cstheme="minorHAnsi"/>
                <w:b w:val="0"/>
                <w:bCs w:val="0"/>
                <w:sz w:val="24"/>
                <w:szCs w:val="24"/>
              </w:rPr>
              <w:t xml:space="preserve">Technical language in any field.  </w:t>
            </w:r>
          </w:p>
        </w:tc>
      </w:tr>
      <w:tr w:rsidR="00BC1E4E" w:rsidRPr="00BC1E4E" w14:paraId="56EFF046"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506E8AD5" w14:textId="130013CB"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rPr>
            </w:pPr>
            <w:r w:rsidRPr="00BC1E4E">
              <w:rPr>
                <w:rFonts w:asciiTheme="minorHAnsi" w:hAnsiTheme="minorHAnsi" w:cstheme="minorHAnsi"/>
                <w:b w:val="0"/>
                <w:bCs w:val="0"/>
                <w:sz w:val="24"/>
                <w:szCs w:val="24"/>
              </w:rPr>
              <w:t>Register</w:t>
            </w:r>
          </w:p>
        </w:tc>
        <w:tc>
          <w:tcPr>
            <w:tcW w:w="11670" w:type="dxa"/>
            <w:gridSpan w:val="2"/>
          </w:tcPr>
          <w:p w14:paraId="3BD0DE61" w14:textId="05040613" w:rsidR="00BC1E4E" w:rsidRPr="00BC1E4E" w:rsidRDefault="00BC1E4E" w:rsidP="00BC1E4E">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BC1E4E">
              <w:rPr>
                <w:rFonts w:asciiTheme="minorHAnsi" w:hAnsiTheme="minorHAnsi" w:cstheme="minorHAnsi"/>
                <w:b w:val="0"/>
                <w:bCs w:val="0"/>
                <w:sz w:val="24"/>
                <w:szCs w:val="24"/>
              </w:rPr>
              <w:t xml:space="preserve">In the occupational language register is often conveyed </w:t>
            </w:r>
            <w:proofErr w:type="gramStart"/>
            <w:r w:rsidRPr="00BC1E4E">
              <w:rPr>
                <w:rFonts w:asciiTheme="minorHAnsi" w:hAnsiTheme="minorHAnsi" w:cstheme="minorHAnsi"/>
                <w:b w:val="0"/>
                <w:bCs w:val="0"/>
                <w:sz w:val="24"/>
                <w:szCs w:val="24"/>
              </w:rPr>
              <w:t>through the use of</w:t>
            </w:r>
            <w:proofErr w:type="gramEnd"/>
            <w:r w:rsidRPr="00BC1E4E">
              <w:rPr>
                <w:rFonts w:asciiTheme="minorHAnsi" w:hAnsiTheme="minorHAnsi" w:cstheme="minorHAnsi"/>
                <w:b w:val="0"/>
                <w:bCs w:val="0"/>
                <w:sz w:val="24"/>
                <w:szCs w:val="24"/>
              </w:rPr>
              <w:t xml:space="preserve"> – </w:t>
            </w:r>
            <w:r w:rsidRPr="00BC1E4E">
              <w:rPr>
                <w:rFonts w:asciiTheme="minorHAnsi" w:hAnsiTheme="minorHAnsi" w:cstheme="minorHAnsi"/>
                <w:b w:val="0"/>
                <w:bCs w:val="0"/>
                <w:color w:val="FF0000"/>
                <w:sz w:val="24"/>
                <w:szCs w:val="24"/>
              </w:rPr>
              <w:t>modal verbs, imperatives, pronouns, coded language, abbreviations and acronyms, logos, jargon, standard English, complexity of sentence structure, politeness markers, terms of address.</w:t>
            </w:r>
            <w:r w:rsidRPr="00BC1E4E">
              <w:rPr>
                <w:rFonts w:asciiTheme="minorHAnsi" w:hAnsiTheme="minorHAnsi" w:cstheme="minorHAnsi"/>
                <w:b w:val="0"/>
                <w:bCs w:val="0"/>
                <w:sz w:val="24"/>
                <w:szCs w:val="24"/>
              </w:rPr>
              <w:t xml:space="preserve"> </w:t>
            </w:r>
            <w:r w:rsidRPr="00BC1E4E">
              <w:rPr>
                <w:rFonts w:asciiTheme="minorHAnsi" w:hAnsiTheme="minorHAnsi" w:cstheme="minorHAnsi"/>
                <w:b w:val="0"/>
                <w:bCs w:val="0"/>
                <w:color w:val="FF0000"/>
                <w:sz w:val="24"/>
                <w:szCs w:val="24"/>
              </w:rPr>
              <w:t>See p.184 in coursebook</w:t>
            </w:r>
          </w:p>
        </w:tc>
      </w:tr>
      <w:tr w:rsidR="00BC1E4E" w:rsidRPr="00BC1E4E" w14:paraId="37C555E0" w14:textId="77777777" w:rsidTr="00D43A0B">
        <w:tblPrEx>
          <w:tblBorders>
            <w:top w:val="single" w:sz="18" w:space="0" w:color="auto"/>
            <w:left w:val="single" w:sz="18" w:space="0" w:color="auto"/>
            <w:bottom w:val="single" w:sz="18" w:space="0" w:color="auto"/>
            <w:right w:val="single" w:sz="18" w:space="0" w:color="auto"/>
          </w:tblBorders>
        </w:tblPrEx>
        <w:trPr>
          <w:trHeight w:val="95"/>
        </w:trPr>
        <w:tc>
          <w:tcPr>
            <w:tcW w:w="4366" w:type="dxa"/>
            <w:gridSpan w:val="2"/>
            <w:shd w:val="clear" w:color="auto" w:fill="auto"/>
            <w:tcMar>
              <w:left w:w="57" w:type="dxa"/>
              <w:right w:w="57" w:type="dxa"/>
            </w:tcMar>
          </w:tcPr>
          <w:p w14:paraId="0669CAA4" w14:textId="77777777" w:rsidR="00BC1E4E" w:rsidRPr="00BC1E4E" w:rsidRDefault="00BC1E4E" w:rsidP="00BC1E4E">
            <w:pPr>
              <w:rPr>
                <w:rFonts w:cstheme="minorHAnsi"/>
                <w:sz w:val="24"/>
                <w:szCs w:val="24"/>
              </w:rPr>
            </w:pPr>
            <w:proofErr w:type="spellStart"/>
            <w:r w:rsidRPr="00BC1E4E">
              <w:rPr>
                <w:rFonts w:cstheme="minorHAnsi"/>
                <w:sz w:val="24"/>
                <w:szCs w:val="24"/>
              </w:rPr>
              <w:t>Jackspeak</w:t>
            </w:r>
            <w:proofErr w:type="spellEnd"/>
          </w:p>
          <w:p w14:paraId="4DE1A0BE" w14:textId="238FB0D9"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rPr>
            </w:pPr>
            <w:r w:rsidRPr="00BC1E4E">
              <w:rPr>
                <w:rFonts w:asciiTheme="minorHAnsi" w:hAnsiTheme="minorHAnsi" w:cstheme="minorHAnsi"/>
                <w:b w:val="0"/>
                <w:bCs w:val="0"/>
                <w:sz w:val="24"/>
                <w:szCs w:val="24"/>
              </w:rPr>
              <w:t>The sociolect of the Royal Navy has been the subject of many slang dictionaries.</w:t>
            </w:r>
          </w:p>
        </w:tc>
        <w:tc>
          <w:tcPr>
            <w:tcW w:w="11670" w:type="dxa"/>
            <w:gridSpan w:val="2"/>
          </w:tcPr>
          <w:p w14:paraId="5A80424E" w14:textId="77777777" w:rsidR="00BC1E4E" w:rsidRPr="00BC1E4E" w:rsidRDefault="00BC1E4E" w:rsidP="00BC1E4E">
            <w:pPr>
              <w:rPr>
                <w:rFonts w:cstheme="minorHAnsi"/>
                <w:sz w:val="24"/>
                <w:szCs w:val="24"/>
              </w:rPr>
            </w:pPr>
            <w:r w:rsidRPr="00BC1E4E">
              <w:rPr>
                <w:rFonts w:cstheme="minorHAnsi"/>
                <w:i/>
                <w:sz w:val="24"/>
                <w:szCs w:val="24"/>
              </w:rPr>
              <w:t xml:space="preserve">The </w:t>
            </w:r>
            <w:proofErr w:type="spellStart"/>
            <w:r w:rsidRPr="00BC1E4E">
              <w:rPr>
                <w:rFonts w:cstheme="minorHAnsi"/>
                <w:i/>
                <w:sz w:val="24"/>
                <w:szCs w:val="24"/>
              </w:rPr>
              <w:t>Pusser’s</w:t>
            </w:r>
            <w:proofErr w:type="spellEnd"/>
            <w:r w:rsidRPr="00BC1E4E">
              <w:rPr>
                <w:rFonts w:cstheme="minorHAnsi"/>
                <w:i/>
                <w:sz w:val="24"/>
                <w:szCs w:val="24"/>
              </w:rPr>
              <w:t xml:space="preserve"> Rum Guide to Royal Navy </w:t>
            </w:r>
            <w:proofErr w:type="spellStart"/>
            <w:r w:rsidRPr="00BC1E4E">
              <w:rPr>
                <w:rFonts w:cstheme="minorHAnsi"/>
                <w:i/>
                <w:sz w:val="24"/>
                <w:szCs w:val="24"/>
              </w:rPr>
              <w:t>Slanguage</w:t>
            </w:r>
            <w:proofErr w:type="spellEnd"/>
            <w:r w:rsidRPr="00BC1E4E">
              <w:rPr>
                <w:rFonts w:cstheme="minorHAnsi"/>
                <w:sz w:val="24"/>
                <w:szCs w:val="24"/>
              </w:rPr>
              <w:t xml:space="preserve"> gives the following examples</w:t>
            </w:r>
          </w:p>
          <w:p w14:paraId="057CA380" w14:textId="77777777" w:rsidR="00BC1E4E" w:rsidRPr="00BC1E4E" w:rsidRDefault="00BC1E4E" w:rsidP="00BC1E4E">
            <w:pPr>
              <w:pStyle w:val="ListParagraph"/>
              <w:numPr>
                <w:ilvl w:val="0"/>
                <w:numId w:val="2"/>
              </w:numPr>
              <w:spacing w:after="0" w:line="240" w:lineRule="auto"/>
              <w:ind w:left="175" w:hanging="175"/>
              <w:rPr>
                <w:rFonts w:cstheme="minorHAnsi"/>
                <w:sz w:val="24"/>
                <w:szCs w:val="24"/>
              </w:rPr>
            </w:pPr>
            <w:r w:rsidRPr="00BC1E4E">
              <w:rPr>
                <w:rFonts w:cstheme="minorHAnsi"/>
                <w:color w:val="FF0000"/>
                <w:sz w:val="24"/>
                <w:szCs w:val="24"/>
              </w:rPr>
              <w:t>Abeam</w:t>
            </w:r>
            <w:r w:rsidRPr="00BC1E4E">
              <w:rPr>
                <w:rFonts w:cstheme="minorHAnsi"/>
                <w:sz w:val="24"/>
                <w:szCs w:val="24"/>
              </w:rPr>
              <w:t xml:space="preserve"> – adjacent to</w:t>
            </w:r>
          </w:p>
          <w:p w14:paraId="19990DF7" w14:textId="77777777" w:rsidR="00BC1E4E" w:rsidRPr="00BC1E4E" w:rsidRDefault="00BC1E4E" w:rsidP="00BC1E4E">
            <w:pPr>
              <w:pStyle w:val="ListParagraph"/>
              <w:numPr>
                <w:ilvl w:val="0"/>
                <w:numId w:val="2"/>
              </w:numPr>
              <w:spacing w:after="0" w:line="240" w:lineRule="auto"/>
              <w:ind w:left="175" w:hanging="175"/>
              <w:rPr>
                <w:rFonts w:cstheme="minorHAnsi"/>
                <w:sz w:val="24"/>
                <w:szCs w:val="24"/>
              </w:rPr>
            </w:pPr>
            <w:r w:rsidRPr="00BC1E4E">
              <w:rPr>
                <w:rFonts w:cstheme="minorHAnsi"/>
                <w:color w:val="FF0000"/>
                <w:sz w:val="24"/>
                <w:szCs w:val="24"/>
              </w:rPr>
              <w:t xml:space="preserve">To let the cat out of the bag </w:t>
            </w:r>
            <w:r w:rsidRPr="00BC1E4E">
              <w:rPr>
                <w:rFonts w:cstheme="minorHAnsi"/>
                <w:sz w:val="24"/>
                <w:szCs w:val="24"/>
              </w:rPr>
              <w:t>(idiom)– refers to the cat o’ nine tails (a whip used for punishment) being taken out of its storage bag</w:t>
            </w:r>
          </w:p>
          <w:p w14:paraId="63E087C4" w14:textId="1FB97381" w:rsidR="00BC1E4E" w:rsidRPr="00BC1E4E" w:rsidRDefault="00BC1E4E" w:rsidP="00BC1E4E">
            <w:pPr>
              <w:pStyle w:val="Heading2"/>
              <w:spacing w:before="0" w:beforeAutospacing="0" w:after="0" w:afterAutospacing="0"/>
              <w:outlineLvl w:val="1"/>
              <w:rPr>
                <w:rFonts w:asciiTheme="minorHAnsi" w:hAnsiTheme="minorHAnsi" w:cstheme="minorHAnsi"/>
                <w:b w:val="0"/>
                <w:bCs w:val="0"/>
                <w:color w:val="222222"/>
                <w:sz w:val="24"/>
                <w:szCs w:val="24"/>
                <w:shd w:val="clear" w:color="auto" w:fill="FFFFFF"/>
              </w:rPr>
            </w:pPr>
            <w:r w:rsidRPr="00BC1E4E">
              <w:rPr>
                <w:rFonts w:asciiTheme="minorHAnsi" w:hAnsiTheme="minorHAnsi" w:cstheme="minorHAnsi"/>
                <w:b w:val="0"/>
                <w:bCs w:val="0"/>
                <w:color w:val="FF0000"/>
                <w:sz w:val="24"/>
                <w:szCs w:val="24"/>
              </w:rPr>
              <w:t xml:space="preserve">Ring off </w:t>
            </w:r>
            <w:r w:rsidRPr="00BC1E4E">
              <w:rPr>
                <w:rFonts w:asciiTheme="minorHAnsi" w:hAnsiTheme="minorHAnsi" w:cstheme="minorHAnsi"/>
                <w:b w:val="0"/>
                <w:bCs w:val="0"/>
                <w:sz w:val="24"/>
                <w:szCs w:val="24"/>
              </w:rPr>
              <w:t>(phrasal verb) – to finish a task – derived from the old engine telegraph system of bell signals</w:t>
            </w:r>
          </w:p>
        </w:tc>
      </w:tr>
      <w:tr w:rsidR="00BC1E4E" w:rsidRPr="00BC1E4E" w14:paraId="3433B813" w14:textId="77777777" w:rsidTr="00D43A0B">
        <w:tblPrEx>
          <w:tblBorders>
            <w:top w:val="single" w:sz="18" w:space="0" w:color="auto"/>
            <w:left w:val="single" w:sz="18" w:space="0" w:color="auto"/>
            <w:bottom w:val="single" w:sz="18" w:space="0" w:color="auto"/>
            <w:right w:val="single" w:sz="18" w:space="0" w:color="auto"/>
          </w:tblBorders>
        </w:tblPrEx>
        <w:trPr>
          <w:trHeight w:val="1160"/>
        </w:trPr>
        <w:tc>
          <w:tcPr>
            <w:tcW w:w="4366" w:type="dxa"/>
            <w:gridSpan w:val="2"/>
            <w:shd w:val="clear" w:color="auto" w:fill="auto"/>
            <w:tcMar>
              <w:left w:w="57" w:type="dxa"/>
              <w:right w:w="57" w:type="dxa"/>
            </w:tcMar>
          </w:tcPr>
          <w:p w14:paraId="287C4CE4" w14:textId="2890ED3D" w:rsidR="00BC1E4E" w:rsidRPr="00BC1E4E" w:rsidRDefault="00BC1E4E" w:rsidP="00BC1E4E">
            <w:pPr>
              <w:pStyle w:val="Heading2"/>
              <w:spacing w:before="0" w:beforeAutospacing="0" w:after="0" w:afterAutospacing="0"/>
              <w:jc w:val="center"/>
              <w:outlineLvl w:val="1"/>
              <w:rPr>
                <w:rFonts w:asciiTheme="minorHAnsi" w:hAnsiTheme="minorHAnsi" w:cstheme="minorHAnsi"/>
                <w:b w:val="0"/>
                <w:bCs w:val="0"/>
                <w:sz w:val="24"/>
                <w:szCs w:val="24"/>
                <w:lang w:val="en"/>
              </w:rPr>
            </w:pPr>
            <w:r w:rsidRPr="00BC1E4E">
              <w:rPr>
                <w:rFonts w:asciiTheme="minorHAnsi" w:hAnsiTheme="minorHAnsi" w:cstheme="minorHAnsi"/>
                <w:b w:val="0"/>
                <w:bCs w:val="0"/>
                <w:sz w:val="24"/>
                <w:szCs w:val="24"/>
              </w:rPr>
              <w:lastRenderedPageBreak/>
              <w:t xml:space="preserve">Computer experts &amp; </w:t>
            </w:r>
            <w:proofErr w:type="spellStart"/>
            <w:r w:rsidRPr="00BC1E4E">
              <w:rPr>
                <w:rFonts w:asciiTheme="minorHAnsi" w:hAnsiTheme="minorHAnsi" w:cstheme="minorHAnsi"/>
                <w:b w:val="0"/>
                <w:bCs w:val="0"/>
                <w:sz w:val="24"/>
                <w:szCs w:val="24"/>
              </w:rPr>
              <w:t>Leet</w:t>
            </w:r>
            <w:proofErr w:type="spellEnd"/>
          </w:p>
        </w:tc>
        <w:tc>
          <w:tcPr>
            <w:tcW w:w="11670" w:type="dxa"/>
            <w:gridSpan w:val="2"/>
          </w:tcPr>
          <w:p w14:paraId="439E8A7D" w14:textId="5AE9FAAD" w:rsidR="00BC1E4E" w:rsidRPr="00BC1E4E" w:rsidRDefault="00BC1E4E" w:rsidP="00BC1E4E">
            <w:pPr>
              <w:rPr>
                <w:rFonts w:cstheme="minorHAnsi"/>
                <w:sz w:val="24"/>
                <w:szCs w:val="24"/>
              </w:rPr>
            </w:pPr>
            <w:r w:rsidRPr="00BC1E4E">
              <w:rPr>
                <w:rFonts w:cstheme="minorHAnsi"/>
                <w:sz w:val="24"/>
                <w:szCs w:val="24"/>
              </w:rPr>
              <w:t xml:space="preserve">A written mode form, its non-standard features are mainly </w:t>
            </w:r>
            <w:r w:rsidRPr="00BC1E4E">
              <w:rPr>
                <w:rFonts w:cstheme="minorHAnsi"/>
                <w:color w:val="FF0000"/>
                <w:sz w:val="24"/>
                <w:szCs w:val="24"/>
              </w:rPr>
              <w:t>lexical and orthographic</w:t>
            </w:r>
            <w:r w:rsidRPr="00BC1E4E">
              <w:rPr>
                <w:rFonts w:cstheme="minorHAnsi"/>
                <w:sz w:val="24"/>
                <w:szCs w:val="24"/>
              </w:rPr>
              <w:t xml:space="preserve">.  </w:t>
            </w:r>
            <w:proofErr w:type="spellStart"/>
            <w:r w:rsidRPr="00BC1E4E">
              <w:rPr>
                <w:rFonts w:cstheme="minorHAnsi"/>
                <w:sz w:val="24"/>
                <w:szCs w:val="24"/>
              </w:rPr>
              <w:t>Leet</w:t>
            </w:r>
            <w:proofErr w:type="spellEnd"/>
            <w:r w:rsidRPr="00BC1E4E">
              <w:rPr>
                <w:rFonts w:cstheme="minorHAnsi"/>
                <w:sz w:val="24"/>
                <w:szCs w:val="24"/>
              </w:rPr>
              <w:t xml:space="preserve"> originated in the </w:t>
            </w:r>
            <w:proofErr w:type="gramStart"/>
            <w:r w:rsidRPr="00BC1E4E">
              <w:rPr>
                <w:rFonts w:cstheme="minorHAnsi"/>
                <w:sz w:val="24"/>
                <w:szCs w:val="24"/>
              </w:rPr>
              <w:t>1980s, and</w:t>
            </w:r>
            <w:proofErr w:type="gramEnd"/>
            <w:r w:rsidRPr="00BC1E4E">
              <w:rPr>
                <w:rFonts w:cstheme="minorHAnsi"/>
                <w:sz w:val="24"/>
                <w:szCs w:val="24"/>
              </w:rPr>
              <w:t xml:space="preserve"> takes its name from the bulletin board systems that preceded the modern day internet.  An ‘elite’ OR ‘</w:t>
            </w:r>
            <w:proofErr w:type="spellStart"/>
            <w:r w:rsidRPr="00BC1E4E">
              <w:rPr>
                <w:rFonts w:cstheme="minorHAnsi"/>
                <w:sz w:val="24"/>
                <w:szCs w:val="24"/>
              </w:rPr>
              <w:t>leet</w:t>
            </w:r>
            <w:proofErr w:type="spellEnd"/>
            <w:r w:rsidRPr="00BC1E4E">
              <w:rPr>
                <w:rFonts w:cstheme="minorHAnsi"/>
                <w:sz w:val="24"/>
                <w:szCs w:val="24"/>
              </w:rPr>
              <w:t xml:space="preserve">’ user would have full access to the system.  </w:t>
            </w:r>
            <w:proofErr w:type="spellStart"/>
            <w:r w:rsidRPr="00BC1E4E">
              <w:rPr>
                <w:rFonts w:cstheme="minorHAnsi"/>
                <w:sz w:val="24"/>
                <w:szCs w:val="24"/>
              </w:rPr>
              <w:t>Leet</w:t>
            </w:r>
            <w:proofErr w:type="spellEnd"/>
            <w:r w:rsidRPr="00BC1E4E">
              <w:rPr>
                <w:rFonts w:cstheme="minorHAnsi"/>
                <w:sz w:val="24"/>
                <w:szCs w:val="24"/>
              </w:rPr>
              <w:t xml:space="preserve"> forms became associated with computer experts and </w:t>
            </w:r>
            <w:proofErr w:type="gramStart"/>
            <w:r w:rsidRPr="00BC1E4E">
              <w:rPr>
                <w:rFonts w:cstheme="minorHAnsi"/>
                <w:sz w:val="24"/>
                <w:szCs w:val="24"/>
              </w:rPr>
              <w:t>in particular hackers</w:t>
            </w:r>
            <w:proofErr w:type="gramEnd"/>
            <w:r w:rsidRPr="00BC1E4E">
              <w:rPr>
                <w:rFonts w:cstheme="minorHAnsi"/>
                <w:sz w:val="24"/>
                <w:szCs w:val="24"/>
              </w:rPr>
              <w:t xml:space="preserve"> who used computers and networks for illegal and deviant activities.  As the internet and text based communication has become widespread, non-standard features of </w:t>
            </w:r>
            <w:proofErr w:type="spellStart"/>
            <w:r w:rsidRPr="00BC1E4E">
              <w:rPr>
                <w:rFonts w:cstheme="minorHAnsi"/>
                <w:sz w:val="24"/>
                <w:szCs w:val="24"/>
              </w:rPr>
              <w:t>leet</w:t>
            </w:r>
            <w:proofErr w:type="spellEnd"/>
            <w:r w:rsidRPr="00BC1E4E">
              <w:rPr>
                <w:rFonts w:cstheme="minorHAnsi"/>
                <w:sz w:val="24"/>
                <w:szCs w:val="24"/>
              </w:rPr>
              <w:t xml:space="preserve"> have entered the mainstream e.g</w:t>
            </w:r>
            <w:r w:rsidRPr="00BC1E4E">
              <w:rPr>
                <w:rFonts w:cstheme="minorHAnsi"/>
                <w:color w:val="FF0000"/>
                <w:sz w:val="24"/>
                <w:szCs w:val="24"/>
              </w:rPr>
              <w:t xml:space="preserve">. the acronym ROFL (Rolling On Floor </w:t>
            </w:r>
            <w:proofErr w:type="gramStart"/>
            <w:r w:rsidRPr="00BC1E4E">
              <w:rPr>
                <w:rFonts w:cstheme="minorHAnsi"/>
                <w:color w:val="FF0000"/>
                <w:sz w:val="24"/>
                <w:szCs w:val="24"/>
              </w:rPr>
              <w:t>Laughing)  and</w:t>
            </w:r>
            <w:proofErr w:type="gramEnd"/>
            <w:r w:rsidRPr="00BC1E4E">
              <w:rPr>
                <w:rFonts w:cstheme="minorHAnsi"/>
                <w:color w:val="FF0000"/>
                <w:sz w:val="24"/>
                <w:szCs w:val="24"/>
              </w:rPr>
              <w:t xml:space="preserve"> ‘w00t’ to show excitement</w:t>
            </w:r>
          </w:p>
        </w:tc>
      </w:tr>
    </w:tbl>
    <w:p w14:paraId="75A05850" w14:textId="77777777" w:rsidR="00BC1E4E" w:rsidRPr="00BC1E4E" w:rsidRDefault="00BC1E4E" w:rsidP="00BC1E4E">
      <w:pPr>
        <w:tabs>
          <w:tab w:val="left" w:pos="10381"/>
        </w:tabs>
        <w:rPr>
          <w:rFonts w:cstheme="minorHAnsi"/>
          <w:sz w:val="24"/>
          <w:szCs w:val="24"/>
        </w:rPr>
      </w:pPr>
    </w:p>
    <w:p w14:paraId="2368DB31" w14:textId="77777777" w:rsidR="00BC1E4E" w:rsidRPr="00BC1E4E" w:rsidRDefault="00BC1E4E" w:rsidP="00BC1E4E">
      <w:pPr>
        <w:rPr>
          <w:rFonts w:cstheme="minorHAnsi"/>
          <w:sz w:val="24"/>
          <w:szCs w:val="24"/>
        </w:rPr>
      </w:pPr>
    </w:p>
    <w:p w14:paraId="08ADB076" w14:textId="77777777" w:rsidR="00BC1E4E" w:rsidRPr="00BC1E4E" w:rsidRDefault="00BC1E4E" w:rsidP="00BC1E4E">
      <w:pPr>
        <w:shd w:val="clear" w:color="auto" w:fill="FFFFFF"/>
        <w:spacing w:after="0" w:line="240" w:lineRule="auto"/>
        <w:textAlignment w:val="baseline"/>
        <w:rPr>
          <w:rFonts w:cstheme="minorHAnsi"/>
          <w:color w:val="5F6D80"/>
          <w:sz w:val="24"/>
          <w:szCs w:val="24"/>
        </w:rPr>
      </w:pPr>
    </w:p>
    <w:p w14:paraId="0A574130" w14:textId="77777777" w:rsidR="00BC1E4E" w:rsidRPr="00BC1E4E" w:rsidRDefault="00BC1E4E" w:rsidP="00BC1E4E">
      <w:pPr>
        <w:rPr>
          <w:rFonts w:cstheme="minorHAnsi"/>
          <w:sz w:val="24"/>
          <w:szCs w:val="24"/>
        </w:rPr>
      </w:pPr>
    </w:p>
    <w:p w14:paraId="40C19D6E" w14:textId="77777777" w:rsidR="00C40C5A" w:rsidRPr="00C40C5A" w:rsidRDefault="00C40C5A" w:rsidP="00C40C5A">
      <w:pPr>
        <w:rPr>
          <w:rFonts w:cstheme="minorHAnsi"/>
          <w:sz w:val="24"/>
          <w:szCs w:val="24"/>
        </w:rPr>
      </w:pPr>
      <w:r w:rsidRPr="00C40C5A">
        <w:rPr>
          <w:rFonts w:cstheme="minorHAnsi"/>
          <w:sz w:val="24"/>
          <w:szCs w:val="24"/>
        </w:rPr>
        <w:t>Reading List for Language and Occupation</w:t>
      </w:r>
    </w:p>
    <w:p w14:paraId="5EC1676A" w14:textId="77777777" w:rsidR="00C40C5A" w:rsidRPr="00C40C5A" w:rsidRDefault="00C40C5A" w:rsidP="00C40C5A">
      <w:pPr>
        <w:rPr>
          <w:rFonts w:cstheme="minorHAnsi"/>
          <w:sz w:val="24"/>
          <w:szCs w:val="24"/>
        </w:rPr>
      </w:pPr>
      <w:r w:rsidRPr="00C40C5A">
        <w:rPr>
          <w:rFonts w:cstheme="minorHAnsi"/>
          <w:sz w:val="24"/>
          <w:szCs w:val="24"/>
        </w:rPr>
        <w:t>Military &amp; naval language</w:t>
      </w:r>
    </w:p>
    <w:p w14:paraId="3CA94146"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 xml:space="preserve">Walker, Andy (2011) The joy of </w:t>
      </w:r>
      <w:proofErr w:type="spellStart"/>
      <w:r w:rsidRPr="00C40C5A">
        <w:rPr>
          <w:rFonts w:cstheme="minorHAnsi"/>
          <w:sz w:val="24"/>
          <w:szCs w:val="24"/>
        </w:rPr>
        <w:t>jackspeak</w:t>
      </w:r>
      <w:proofErr w:type="spellEnd"/>
      <w:r w:rsidRPr="00C40C5A">
        <w:rPr>
          <w:rFonts w:cstheme="minorHAnsi"/>
          <w:sz w:val="24"/>
          <w:szCs w:val="24"/>
        </w:rPr>
        <w:t xml:space="preserve"> http://news.bbc.co.uk/today/hi/today/newsid_9600000/9600625.stm</w:t>
      </w:r>
    </w:p>
    <w:p w14:paraId="4439E642"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r>
      <w:proofErr w:type="spellStart"/>
      <w:r w:rsidRPr="00C40C5A">
        <w:rPr>
          <w:rFonts w:cstheme="minorHAnsi"/>
          <w:sz w:val="24"/>
          <w:szCs w:val="24"/>
        </w:rPr>
        <w:t>Bowcott</w:t>
      </w:r>
      <w:proofErr w:type="spellEnd"/>
      <w:r w:rsidRPr="00C40C5A">
        <w:rPr>
          <w:rFonts w:cstheme="minorHAnsi"/>
          <w:sz w:val="24"/>
          <w:szCs w:val="24"/>
        </w:rPr>
        <w:t>, Owen (2003) Guardian, The language of occupation https://www.theguardian.com/world/2003/apr/16/iraq.owenbowcott</w:t>
      </w:r>
    </w:p>
    <w:p w14:paraId="7C4344EB" w14:textId="77777777" w:rsidR="00C40C5A" w:rsidRPr="00C40C5A" w:rsidRDefault="00C40C5A" w:rsidP="00C40C5A">
      <w:pPr>
        <w:rPr>
          <w:rFonts w:cstheme="minorHAnsi"/>
          <w:sz w:val="24"/>
          <w:szCs w:val="24"/>
        </w:rPr>
      </w:pPr>
    </w:p>
    <w:p w14:paraId="3BB7EE7F" w14:textId="77777777" w:rsidR="00C40C5A" w:rsidRPr="00C40C5A" w:rsidRDefault="00C40C5A" w:rsidP="00C40C5A">
      <w:pPr>
        <w:rPr>
          <w:rFonts w:cstheme="minorHAnsi"/>
          <w:sz w:val="24"/>
          <w:szCs w:val="24"/>
        </w:rPr>
      </w:pPr>
      <w:r w:rsidRPr="00C40C5A">
        <w:rPr>
          <w:rFonts w:cstheme="minorHAnsi"/>
          <w:sz w:val="24"/>
          <w:szCs w:val="24"/>
        </w:rPr>
        <w:t>PR language</w:t>
      </w:r>
    </w:p>
    <w:p w14:paraId="1A45532F" w14:textId="77777777" w:rsidR="00C40C5A" w:rsidRPr="00C40C5A" w:rsidRDefault="00C40C5A" w:rsidP="00C40C5A">
      <w:pPr>
        <w:rPr>
          <w:rFonts w:cstheme="minorHAnsi"/>
          <w:sz w:val="24"/>
          <w:szCs w:val="24"/>
        </w:rPr>
      </w:pPr>
    </w:p>
    <w:p w14:paraId="7094EBC4"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Anonymous (2014) Guardian, PR Jargon: The ten most overused terms https://www.theguardian.com/media-network/media-network-blog/2014/nov/14/pr-jargon-overused-terms-words</w:t>
      </w:r>
    </w:p>
    <w:p w14:paraId="1C25B92A" w14:textId="77777777" w:rsidR="00C40C5A" w:rsidRPr="00C40C5A" w:rsidRDefault="00C40C5A" w:rsidP="00C40C5A">
      <w:pPr>
        <w:rPr>
          <w:rFonts w:cstheme="minorHAnsi"/>
          <w:sz w:val="24"/>
          <w:szCs w:val="24"/>
        </w:rPr>
      </w:pPr>
    </w:p>
    <w:p w14:paraId="6E3D3694" w14:textId="77777777" w:rsidR="00C40C5A" w:rsidRPr="00C40C5A" w:rsidRDefault="00C40C5A" w:rsidP="00C40C5A">
      <w:pPr>
        <w:rPr>
          <w:rFonts w:cstheme="minorHAnsi"/>
          <w:sz w:val="24"/>
          <w:szCs w:val="24"/>
        </w:rPr>
      </w:pPr>
      <w:r w:rsidRPr="00C40C5A">
        <w:rPr>
          <w:rFonts w:cstheme="minorHAnsi"/>
          <w:sz w:val="24"/>
          <w:szCs w:val="24"/>
        </w:rPr>
        <w:t>Office language</w:t>
      </w:r>
    </w:p>
    <w:p w14:paraId="3D63C00E" w14:textId="77777777" w:rsidR="00C40C5A" w:rsidRPr="00C40C5A" w:rsidRDefault="00C40C5A" w:rsidP="00C40C5A">
      <w:pPr>
        <w:rPr>
          <w:rFonts w:cstheme="minorHAnsi"/>
          <w:sz w:val="24"/>
          <w:szCs w:val="24"/>
        </w:rPr>
      </w:pPr>
    </w:p>
    <w:p w14:paraId="36CBAF54"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Poole, Steven (2013) Guardian, An A-Z of modern office jargon https://www.theguardian.com/money/2013/oct/22/a-z-modern-office-jargon</w:t>
      </w:r>
    </w:p>
    <w:p w14:paraId="3F1205FA" w14:textId="77777777" w:rsidR="00C40C5A" w:rsidRPr="00C40C5A" w:rsidRDefault="00C40C5A" w:rsidP="00C40C5A">
      <w:pPr>
        <w:rPr>
          <w:rFonts w:cstheme="minorHAnsi"/>
          <w:sz w:val="24"/>
          <w:szCs w:val="24"/>
        </w:rPr>
      </w:pPr>
    </w:p>
    <w:p w14:paraId="317C2735" w14:textId="77777777" w:rsidR="00C40C5A" w:rsidRPr="00C40C5A" w:rsidRDefault="00C40C5A" w:rsidP="00C40C5A">
      <w:pPr>
        <w:rPr>
          <w:rFonts w:cstheme="minorHAnsi"/>
          <w:sz w:val="24"/>
          <w:szCs w:val="24"/>
        </w:rPr>
      </w:pPr>
      <w:r w:rsidRPr="00C40C5A">
        <w:rPr>
          <w:rFonts w:cstheme="minorHAnsi"/>
          <w:sz w:val="24"/>
          <w:szCs w:val="24"/>
        </w:rPr>
        <w:t>Medical language</w:t>
      </w:r>
    </w:p>
    <w:p w14:paraId="02F8D880"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Campbell, Denis (2014) Guardian, Doctors told to dispense with confusing medical jargon https://www.theguardian.com/society/2014/jun/18/doctors-dispense-with-medical-jargon-patients</w:t>
      </w:r>
    </w:p>
    <w:p w14:paraId="1F965B7A" w14:textId="77777777" w:rsidR="00C40C5A" w:rsidRPr="00C40C5A" w:rsidRDefault="00C40C5A" w:rsidP="00C40C5A">
      <w:pPr>
        <w:rPr>
          <w:rFonts w:cstheme="minorHAnsi"/>
          <w:sz w:val="24"/>
          <w:szCs w:val="24"/>
        </w:rPr>
      </w:pPr>
    </w:p>
    <w:p w14:paraId="66401AE8" w14:textId="77777777" w:rsidR="00C40C5A" w:rsidRPr="00C40C5A" w:rsidRDefault="00C40C5A" w:rsidP="00C40C5A">
      <w:pPr>
        <w:rPr>
          <w:rFonts w:cstheme="minorHAnsi"/>
          <w:sz w:val="24"/>
          <w:szCs w:val="24"/>
        </w:rPr>
      </w:pPr>
      <w:r w:rsidRPr="00C40C5A">
        <w:rPr>
          <w:rFonts w:cstheme="minorHAnsi"/>
          <w:sz w:val="24"/>
          <w:szCs w:val="24"/>
        </w:rPr>
        <w:t>Business English</w:t>
      </w:r>
    </w:p>
    <w:p w14:paraId="445520FB"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Mike Nelson’s Business English Lexis Site http://users.utu.fi/micnel/business_english_lexis_site.htm</w:t>
      </w:r>
    </w:p>
    <w:p w14:paraId="10DF09D7" w14:textId="77777777" w:rsidR="00C40C5A" w:rsidRPr="00C40C5A" w:rsidRDefault="00C40C5A" w:rsidP="00C40C5A">
      <w:pPr>
        <w:rPr>
          <w:rFonts w:cstheme="minorHAnsi"/>
          <w:sz w:val="24"/>
          <w:szCs w:val="24"/>
        </w:rPr>
      </w:pPr>
    </w:p>
    <w:p w14:paraId="5789299D" w14:textId="77777777" w:rsidR="00C40C5A" w:rsidRPr="00C40C5A" w:rsidRDefault="00C40C5A" w:rsidP="00C40C5A">
      <w:pPr>
        <w:rPr>
          <w:rFonts w:cstheme="minorHAnsi"/>
          <w:sz w:val="24"/>
          <w:szCs w:val="24"/>
        </w:rPr>
      </w:pPr>
      <w:r w:rsidRPr="00C40C5A">
        <w:rPr>
          <w:rFonts w:cstheme="minorHAnsi"/>
          <w:sz w:val="24"/>
          <w:szCs w:val="24"/>
        </w:rPr>
        <w:t>Small talk/ phatic talk</w:t>
      </w:r>
    </w:p>
    <w:p w14:paraId="440E41D4"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 xml:space="preserve">Taylor, Rosie (2016) Daily Mail, </w:t>
      </w:r>
      <w:proofErr w:type="gramStart"/>
      <w:r w:rsidRPr="00C40C5A">
        <w:rPr>
          <w:rFonts w:cstheme="minorHAnsi"/>
          <w:sz w:val="24"/>
          <w:szCs w:val="24"/>
        </w:rPr>
        <w:t>The</w:t>
      </w:r>
      <w:proofErr w:type="gramEnd"/>
      <w:r w:rsidRPr="00C40C5A">
        <w:rPr>
          <w:rFonts w:cstheme="minorHAnsi"/>
          <w:sz w:val="24"/>
          <w:szCs w:val="24"/>
        </w:rPr>
        <w:t xml:space="preserve"> first 12 words you say in an interview that can land (or lose) you the job</w:t>
      </w:r>
    </w:p>
    <w:p w14:paraId="72003B07" w14:textId="77777777" w:rsidR="00C40C5A" w:rsidRPr="00C40C5A" w:rsidRDefault="00C40C5A" w:rsidP="00C40C5A">
      <w:pPr>
        <w:rPr>
          <w:rFonts w:cstheme="minorHAnsi"/>
          <w:sz w:val="24"/>
          <w:szCs w:val="24"/>
        </w:rPr>
      </w:pPr>
      <w:r w:rsidRPr="00C40C5A">
        <w:rPr>
          <w:rFonts w:cstheme="minorHAnsi"/>
          <w:sz w:val="24"/>
          <w:szCs w:val="24"/>
        </w:rPr>
        <w:t>http://www.dailymail.co.uk/news/article-3416592/How-just-little-small-talk-job-impression-walk-interview-room-shape-employer-sees-candidate.html</w:t>
      </w:r>
    </w:p>
    <w:p w14:paraId="0DE573A8" w14:textId="77777777" w:rsidR="00C40C5A" w:rsidRPr="00C40C5A" w:rsidRDefault="00C40C5A" w:rsidP="00C40C5A">
      <w:pPr>
        <w:rPr>
          <w:rFonts w:cstheme="minorHAnsi"/>
          <w:sz w:val="24"/>
          <w:szCs w:val="24"/>
        </w:rPr>
      </w:pPr>
    </w:p>
    <w:p w14:paraId="3692AE1A" w14:textId="77777777" w:rsidR="00C40C5A" w:rsidRPr="00C40C5A" w:rsidRDefault="00C40C5A" w:rsidP="00C40C5A">
      <w:pPr>
        <w:rPr>
          <w:rFonts w:cstheme="minorHAnsi"/>
          <w:sz w:val="24"/>
          <w:szCs w:val="24"/>
        </w:rPr>
      </w:pPr>
      <w:r w:rsidRPr="00C40C5A">
        <w:rPr>
          <w:rFonts w:cstheme="minorHAnsi"/>
          <w:sz w:val="24"/>
          <w:szCs w:val="24"/>
        </w:rPr>
        <w:t>•</w:t>
      </w:r>
      <w:r w:rsidRPr="00C40C5A">
        <w:rPr>
          <w:rFonts w:cstheme="minorHAnsi"/>
          <w:sz w:val="24"/>
          <w:szCs w:val="24"/>
        </w:rPr>
        <w:tab/>
        <w:t>Brewer, Kirstie (2016) Guardian, Is small talk social glue or just white noise? (https://www.theguardian.com/small-business-network/2016/sep/08/is-small-talk-social-glue-or-just-white-noise</w:t>
      </w:r>
    </w:p>
    <w:p w14:paraId="506C8941" w14:textId="77777777" w:rsidR="00BC1E4E" w:rsidRPr="00BC1E4E" w:rsidRDefault="00BC1E4E" w:rsidP="00BC1E4E">
      <w:pPr>
        <w:rPr>
          <w:rFonts w:cstheme="minorHAnsi"/>
          <w:sz w:val="24"/>
          <w:szCs w:val="24"/>
        </w:rPr>
      </w:pPr>
    </w:p>
    <w:p w14:paraId="3A135849" w14:textId="77777777" w:rsidR="009E2C32" w:rsidRPr="00BC1E4E" w:rsidRDefault="009E2C32">
      <w:pPr>
        <w:rPr>
          <w:rFonts w:cstheme="minorHAnsi"/>
          <w:sz w:val="24"/>
          <w:szCs w:val="24"/>
        </w:rPr>
      </w:pPr>
    </w:p>
    <w:sectPr w:rsidR="009E2C32" w:rsidRPr="00BC1E4E" w:rsidSect="009E6437">
      <w:headerReference w:type="default" r:id="rId10"/>
      <w:footerReference w:type="default" r:id="rId11"/>
      <w:pgSz w:w="16838" w:h="11906" w:orient="landscape"/>
      <w:pgMar w:top="993" w:right="1440" w:bottom="1135"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4EAF3" w14:textId="77777777" w:rsidR="00BC1E4E" w:rsidRDefault="00BC1E4E" w:rsidP="00BC1E4E">
      <w:pPr>
        <w:spacing w:after="0" w:line="240" w:lineRule="auto"/>
      </w:pPr>
      <w:r>
        <w:separator/>
      </w:r>
    </w:p>
  </w:endnote>
  <w:endnote w:type="continuationSeparator" w:id="0">
    <w:p w14:paraId="073BDF61" w14:textId="77777777" w:rsidR="00BC1E4E" w:rsidRDefault="00BC1E4E" w:rsidP="00BC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E936" w14:textId="77777777" w:rsidR="00EA0CEB" w:rsidRDefault="00BC1E4E">
    <w:pPr>
      <w:pStyle w:val="Footer"/>
    </w:pPr>
    <w:r w:rsidRPr="00EA0CEB">
      <w:rPr>
        <w:noProof/>
      </w:rPr>
      <w:drawing>
        <wp:anchor distT="0" distB="0" distL="114300" distR="114300" simplePos="0" relativeHeight="251660288" behindDoc="0" locked="0" layoutInCell="1" allowOverlap="1" wp14:anchorId="10BB5F60" wp14:editId="7F468EEF">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CEB">
      <w:rPr>
        <w:noProof/>
      </w:rPr>
      <mc:AlternateContent>
        <mc:Choice Requires="wps">
          <w:drawing>
            <wp:anchor distT="0" distB="0" distL="114300" distR="114300" simplePos="0" relativeHeight="251661312" behindDoc="0" locked="0" layoutInCell="1" allowOverlap="1" wp14:anchorId="50E65558" wp14:editId="2F64E7D0">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7CDF491D" w14:textId="77777777" w:rsidR="00EA0CEB" w:rsidRDefault="00BC1E4E"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65558"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7CDF491D" w14:textId="77777777" w:rsidR="00EA0CEB" w:rsidRDefault="00BC1E4E"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10E61" w14:textId="77777777" w:rsidR="00BC1E4E" w:rsidRDefault="00BC1E4E" w:rsidP="00BC1E4E">
      <w:pPr>
        <w:spacing w:after="0" w:line="240" w:lineRule="auto"/>
      </w:pPr>
      <w:r>
        <w:separator/>
      </w:r>
    </w:p>
  </w:footnote>
  <w:footnote w:type="continuationSeparator" w:id="0">
    <w:p w14:paraId="4804B69D" w14:textId="77777777" w:rsidR="00BC1E4E" w:rsidRDefault="00BC1E4E" w:rsidP="00BC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1982" w14:textId="77777777" w:rsidR="00EA0CEB" w:rsidRDefault="00BC1E4E">
    <w:pPr>
      <w:pStyle w:val="Header"/>
    </w:pPr>
    <w:r>
      <w:rPr>
        <w:noProof/>
      </w:rPr>
      <mc:AlternateContent>
        <mc:Choice Requires="wps">
          <w:drawing>
            <wp:anchor distT="0" distB="0" distL="114300" distR="114300" simplePos="0" relativeHeight="251659264" behindDoc="0" locked="0" layoutInCell="1" allowOverlap="1" wp14:anchorId="4145696B" wp14:editId="1EE9F727">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6EDA7301" w14:textId="6499C122" w:rsidR="00EA0CEB" w:rsidRDefault="00BC1E4E" w:rsidP="00EA0CEB">
                          <w:r>
                            <w:rPr>
                              <w:rFonts w:ascii="Corbel" w:eastAsia="Calibri" w:hAnsi="Corbel"/>
                              <w:b/>
                              <w:color w:val="161E6B"/>
                              <w:kern w:val="24"/>
                              <w:sz w:val="32"/>
                            </w:rPr>
                            <w:t>Knowledge Organiser: Language and Occupation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5696B"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6EDA7301" w14:textId="6499C122" w:rsidR="00EA0CEB" w:rsidRDefault="00BC1E4E" w:rsidP="00EA0CEB">
                    <w:r>
                      <w:rPr>
                        <w:rFonts w:ascii="Corbel" w:eastAsia="Calibri" w:hAnsi="Corbel"/>
                        <w:b/>
                        <w:color w:val="161E6B"/>
                        <w:kern w:val="24"/>
                        <w:sz w:val="32"/>
                      </w:rPr>
                      <w:t xml:space="preserve">Knowledge Organiser: </w:t>
                    </w:r>
                    <w:r>
                      <w:rPr>
                        <w:rFonts w:ascii="Corbel" w:eastAsia="Calibri" w:hAnsi="Corbel"/>
                        <w:b/>
                        <w:color w:val="161E6B"/>
                        <w:kern w:val="24"/>
                        <w:sz w:val="32"/>
                      </w:rPr>
                      <w:t>Language and Occupation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15B4F"/>
    <w:multiLevelType w:val="hybridMultilevel"/>
    <w:tmpl w:val="779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36BC4"/>
    <w:multiLevelType w:val="hybridMultilevel"/>
    <w:tmpl w:val="03B0C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4E"/>
    <w:rsid w:val="009E2C32"/>
    <w:rsid w:val="00BC1E4E"/>
    <w:rsid w:val="00C40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A352C"/>
  <w15:chartTrackingRefBased/>
  <w15:docId w15:val="{581C13C6-7C2D-4995-BE40-6623948F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4E"/>
  </w:style>
  <w:style w:type="paragraph" w:styleId="Heading2">
    <w:name w:val="heading 2"/>
    <w:basedOn w:val="Normal"/>
    <w:link w:val="Heading2Char"/>
    <w:uiPriority w:val="9"/>
    <w:qFormat/>
    <w:rsid w:val="00BC1E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E4E"/>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BC1E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E4E"/>
  </w:style>
  <w:style w:type="paragraph" w:styleId="Footer">
    <w:name w:val="footer"/>
    <w:basedOn w:val="Normal"/>
    <w:link w:val="FooterChar"/>
    <w:uiPriority w:val="99"/>
    <w:unhideWhenUsed/>
    <w:rsid w:val="00BC1E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E4E"/>
  </w:style>
  <w:style w:type="table" w:styleId="TableGrid">
    <w:name w:val="Table Grid"/>
    <w:basedOn w:val="TableNormal"/>
    <w:uiPriority w:val="59"/>
    <w:rsid w:val="00BC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E4E"/>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91C82-58EF-4A58-A14A-FE640ABD5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343B55-69D2-4D45-A065-9D1E71479FCE}">
  <ds:schemaRefs>
    <ds:schemaRef ds:uri="http://schemas.microsoft.com/sharepoint/v3/contenttype/forms"/>
  </ds:schemaRefs>
</ds:datastoreItem>
</file>

<file path=customXml/itemProps3.xml><?xml version="1.0" encoding="utf-8"?>
<ds:datastoreItem xmlns:ds="http://schemas.openxmlformats.org/officeDocument/2006/customXml" ds:itemID="{B3A882C8-AC3F-4A62-867D-16A70A975DD1}"/>
</file>

<file path=docProps/app.xml><?xml version="1.0" encoding="utf-8"?>
<Properties xmlns="http://schemas.openxmlformats.org/officeDocument/2006/extended-properties" xmlns:vt="http://schemas.openxmlformats.org/officeDocument/2006/docPropsVTypes">
  <Template>Normal</Template>
  <TotalTime>3</TotalTime>
  <Pages>4</Pages>
  <Words>896</Words>
  <Characters>5113</Characters>
  <Application>Microsoft Office Word</Application>
  <DocSecurity>0</DocSecurity>
  <Lines>42</Lines>
  <Paragraphs>11</Paragraphs>
  <ScaleCrop>false</ScaleCrop>
  <Company>North Oxfordshire Academy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Dady</dc:creator>
  <cp:keywords/>
  <dc:description/>
  <cp:lastModifiedBy>Lewis Dady</cp:lastModifiedBy>
  <cp:revision>2</cp:revision>
  <dcterms:created xsi:type="dcterms:W3CDTF">2022-07-07T10:28:00Z</dcterms:created>
  <dcterms:modified xsi:type="dcterms:W3CDTF">2022-07-07T10:33:00Z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